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rsidP="00D903E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rsidP="00D903E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רשמת בכירה</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ריבי לב אוחיון</w:t>
                </w:r>
              </w:sdtContent>
            </w:sdt>
          </w:p>
          <w:p w:rsidR="002914D6" w:rsidRDefault="002914D6" w:rsidP="00D903E2">
            <w:pPr>
              <w:rPr>
                <w:rFonts w:ascii="Arial" w:hAnsi="Arial" w:cs="FrankRuehl"/>
                <w:sz w:val="28"/>
                <w:szCs w:val="28"/>
                <w:highlight w:val="yellow"/>
              </w:rPr>
            </w:pPr>
          </w:p>
        </w:tc>
      </w:tr>
      <w:tr w:rsidR="002914D6" w:rsidTr="00DA714E">
        <w:tc>
          <w:tcPr>
            <w:tcW w:w="3249" w:type="dxa"/>
            <w:gridSpan w:val="2"/>
          </w:tcPr>
          <w:p w:rsidR="002914D6" w:rsidRDefault="002914D6" w:rsidP="00D903E2">
            <w:pPr>
              <w:bidi w:val="0"/>
              <w:jc w:val="right"/>
              <w:rPr>
                <w:rFonts w:ascii="Arial" w:hAnsi="Arial"/>
                <w:b/>
                <w:bCs/>
                <w:noProof w:val="0"/>
                <w:sz w:val="26"/>
                <w:szCs w:val="26"/>
              </w:rPr>
            </w:pPr>
          </w:p>
          <w:sdt>
            <w:sdtPr>
              <w:alias w:val="1180"/>
              <w:tag w:val="1180"/>
              <w:id w:val="2064520869"/>
              <w:text w:multiLine="1"/>
            </w:sdtPr>
            <w:sdtEndPr/>
            <w:sdtContent>
              <w:p w:rsidR="008D2646" w:rsidRDefault="001B43CC" w:rsidP="00D903E2">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rsidP="00D903E2">
            <w:pPr>
              <w:rPr>
                <w:rFonts w:ascii="Arial" w:hAnsi="Arial"/>
                <w:b/>
                <w:bCs/>
                <w:noProof w:val="0"/>
                <w:sz w:val="26"/>
                <w:szCs w:val="26"/>
              </w:rPr>
            </w:pPr>
          </w:p>
          <w:p w:rsidR="002914D6" w:rsidRDefault="005A10C4" w:rsidP="00237282">
            <w:pPr>
              <w:rPr>
                <w:b/>
                <w:bCs/>
                <w:noProof w:val="0"/>
                <w:sz w:val="26"/>
                <w:szCs w:val="26"/>
              </w:rPr>
            </w:pPr>
            <w:sdt>
              <w:sdtPr>
                <w:rPr>
                  <w:rtl/>
                </w:rPr>
                <w:alias w:val="1462"/>
                <w:tag w:val="1462"/>
                <w:id w:val="-236406021"/>
                <w:text w:multiLine="1"/>
              </w:sdtPr>
              <w:sdtEndPr/>
              <w:sdtContent>
                <w:r w:rsidR="00CC29C2">
                  <w:rPr>
                    <w:rFonts w:ascii="Arial" w:hAnsi="Arial"/>
                    <w:b/>
                    <w:bCs/>
                    <w:noProof w:val="0"/>
                    <w:sz w:val="26"/>
                    <w:szCs w:val="26"/>
                    <w:rtl/>
                  </w:rPr>
                  <w:t>1</w:t>
                </w:r>
              </w:sdtContent>
            </w:sdt>
            <w:r w:rsidR="00011212">
              <w:rPr>
                <w:b/>
                <w:bCs/>
                <w:noProof w:val="0"/>
                <w:sz w:val="26"/>
                <w:szCs w:val="26"/>
                <w:rtl/>
              </w:rPr>
              <w:t xml:space="preserve">. </w:t>
            </w:r>
            <w:r w:rsidR="00237282">
              <w:rPr>
                <w:rFonts w:ascii="Arial" w:hAnsi="Arial" w:hint="cs"/>
                <w:b/>
                <w:bCs/>
                <w:noProof w:val="0"/>
                <w:sz w:val="26"/>
                <w:szCs w:val="26"/>
                <w:rtl/>
              </w:rPr>
              <w:t>פלונית, ת.ז.*********</w:t>
            </w:r>
          </w:p>
        </w:tc>
      </w:tr>
      <w:tr w:rsidR="002914D6" w:rsidTr="00DA714E">
        <w:tc>
          <w:tcPr>
            <w:tcW w:w="8820" w:type="dxa"/>
            <w:gridSpan w:val="3"/>
          </w:tcPr>
          <w:p w:rsidR="002914D6" w:rsidRDefault="002914D6" w:rsidP="00D903E2">
            <w:pPr>
              <w:rPr>
                <w:rFonts w:ascii="Arial" w:hAnsi="Arial"/>
                <w:b/>
                <w:bCs/>
                <w:noProof w:val="0"/>
                <w:sz w:val="26"/>
                <w:szCs w:val="26"/>
                <w:rtl/>
              </w:rPr>
            </w:pPr>
          </w:p>
          <w:p w:rsidR="002914D6" w:rsidRDefault="00011212" w:rsidP="00D903E2">
            <w:pPr>
              <w:jc w:val="center"/>
              <w:rPr>
                <w:rFonts w:ascii="Arial" w:hAnsi="Arial"/>
                <w:b/>
                <w:bCs/>
                <w:noProof w:val="0"/>
                <w:sz w:val="26"/>
                <w:szCs w:val="26"/>
                <w:rtl/>
              </w:rPr>
            </w:pPr>
            <w:r>
              <w:rPr>
                <w:rFonts w:ascii="Arial" w:hAnsi="Arial"/>
                <w:b/>
                <w:bCs/>
                <w:noProof w:val="0"/>
                <w:sz w:val="26"/>
                <w:szCs w:val="26"/>
                <w:rtl/>
              </w:rPr>
              <w:t>נגד</w:t>
            </w:r>
          </w:p>
          <w:p w:rsidR="002914D6" w:rsidRDefault="002914D6" w:rsidP="00D903E2">
            <w:pPr>
              <w:rPr>
                <w:rFonts w:ascii="Arial" w:hAnsi="Arial"/>
                <w:b/>
                <w:bCs/>
                <w:noProof w:val="0"/>
                <w:sz w:val="26"/>
                <w:szCs w:val="26"/>
              </w:rPr>
            </w:pPr>
          </w:p>
        </w:tc>
      </w:tr>
      <w:tr w:rsidR="002914D6" w:rsidTr="00DA714E">
        <w:tc>
          <w:tcPr>
            <w:tcW w:w="3249" w:type="dxa"/>
            <w:gridSpan w:val="2"/>
          </w:tcPr>
          <w:p w:rsidR="002914D6" w:rsidRDefault="002914D6" w:rsidP="00D903E2">
            <w:pPr>
              <w:rPr>
                <w:rFonts w:ascii="Arial" w:hAnsi="Arial"/>
                <w:b/>
                <w:bCs/>
                <w:noProof w:val="0"/>
                <w:sz w:val="26"/>
                <w:szCs w:val="26"/>
                <w:rtl/>
              </w:rPr>
            </w:pPr>
          </w:p>
          <w:p w:rsidR="002914D6" w:rsidRDefault="005A10C4" w:rsidP="00D903E2">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נתבעים</w:t>
                </w:r>
              </w:sdtContent>
            </w:sdt>
          </w:p>
        </w:tc>
        <w:tc>
          <w:tcPr>
            <w:tcW w:w="5571" w:type="dxa"/>
          </w:tcPr>
          <w:p w:rsidR="002914D6" w:rsidRDefault="002914D6" w:rsidP="00D903E2">
            <w:pPr>
              <w:rPr>
                <w:rFonts w:ascii="Arial" w:hAnsi="Arial"/>
                <w:b/>
                <w:bCs/>
                <w:noProof w:val="0"/>
                <w:sz w:val="26"/>
                <w:szCs w:val="26"/>
                <w:rtl/>
              </w:rPr>
            </w:pPr>
          </w:p>
          <w:p w:rsidR="002914D6" w:rsidRDefault="005A10C4" w:rsidP="00237282">
            <w:pPr>
              <w:rPr>
                <w:b/>
                <w:bCs/>
                <w:noProof w:val="0"/>
                <w:sz w:val="26"/>
                <w:szCs w:val="26"/>
                <w:rtl/>
              </w:rPr>
            </w:pPr>
            <w:sdt>
              <w:sdtPr>
                <w:rPr>
                  <w:rtl/>
                </w:rPr>
                <w:alias w:val="1571"/>
                <w:tag w:val="1571"/>
                <w:id w:val="1119420712"/>
                <w:text w:multiLine="1"/>
              </w:sdtPr>
              <w:sdtEndPr/>
              <w:sdtContent>
                <w:r w:rsidR="00CC29C2">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1219885928"/>
                <w:text w:multiLine="1"/>
              </w:sdtPr>
              <w:sdtEndPr/>
              <w:sdtContent>
                <w:r w:rsidR="00237282">
                  <w:rPr>
                    <w:rFonts w:ascii="Arial" w:hAnsi="Arial" w:hint="cs"/>
                    <w:b/>
                    <w:bCs/>
                    <w:noProof w:val="0"/>
                    <w:sz w:val="26"/>
                    <w:szCs w:val="26"/>
                    <w:rtl/>
                  </w:rPr>
                  <w:t>פלוני</w:t>
                </w:r>
                <w:r w:rsidR="00CC29C2">
                  <w:rPr>
                    <w:rFonts w:ascii="Arial" w:hAnsi="Arial"/>
                    <w:b/>
                    <w:bCs/>
                    <w:noProof w:val="0"/>
                    <w:sz w:val="26"/>
                    <w:szCs w:val="26"/>
                    <w:rtl/>
                  </w:rPr>
                  <w:t xml:space="preserve"> (המנוח)</w:t>
                </w:r>
              </w:sdtContent>
            </w:sdt>
            <w:r w:rsidR="00011212">
              <w:rPr>
                <w:rFonts w:ascii="Arial" w:hAnsi="Arial" w:hint="cs"/>
                <w:b/>
                <w:bCs/>
                <w:noProof w:val="0"/>
                <w:sz w:val="26"/>
                <w:szCs w:val="26"/>
                <w:rtl/>
              </w:rPr>
              <w:t xml:space="preserve"> </w:t>
            </w:r>
            <w:sdt>
              <w:sdtPr>
                <w:rPr>
                  <w:rtl/>
                </w:rPr>
                <w:alias w:val="2317"/>
                <w:tag w:val="2317"/>
                <w:id w:val="-2133776470"/>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82733546"/>
                <w:text w:multiLine="1"/>
              </w:sdtPr>
              <w:sdtEndPr/>
              <w:sdtContent>
                <w:r w:rsidR="00237282">
                  <w:rPr>
                    <w:rFonts w:ascii="Arial" w:hAnsi="Arial" w:hint="cs"/>
                    <w:b/>
                    <w:bCs/>
                    <w:noProof w:val="0"/>
                    <w:sz w:val="26"/>
                    <w:szCs w:val="26"/>
                    <w:rtl/>
                  </w:rPr>
                  <w:t>*********</w:t>
                </w:r>
              </w:sdtContent>
            </w:sdt>
          </w:p>
          <w:p w:rsidR="002914D6" w:rsidRDefault="005A10C4" w:rsidP="00237282">
            <w:pPr>
              <w:rPr>
                <w:b/>
                <w:bCs/>
                <w:noProof w:val="0"/>
                <w:sz w:val="26"/>
                <w:szCs w:val="26"/>
                <w:rtl/>
              </w:rPr>
            </w:pPr>
            <w:sdt>
              <w:sdtPr>
                <w:rPr>
                  <w:rtl/>
                </w:rPr>
                <w:alias w:val="1571"/>
                <w:tag w:val="1571"/>
                <w:id w:val="871193337"/>
                <w:text w:multiLine="1"/>
              </w:sdtPr>
              <w:sdtEndPr/>
              <w:sdtContent>
                <w:r w:rsidR="00CC29C2">
                  <w:rPr>
                    <w:rFonts w:ascii="Arial" w:hAnsi="Arial"/>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1704291932"/>
                <w:text w:multiLine="1"/>
              </w:sdtPr>
              <w:sdtEndPr/>
              <w:sdtContent>
                <w:r w:rsidR="00237282">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7"/>
                <w:tag w:val="2317"/>
                <w:id w:val="212549853"/>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1133164133"/>
                <w:text w:multiLine="1"/>
              </w:sdtPr>
              <w:sdtEndPr/>
              <w:sdtContent>
                <w:r w:rsidR="00237282">
                  <w:rPr>
                    <w:rFonts w:ascii="Arial" w:hAnsi="Arial" w:hint="cs"/>
                    <w:b/>
                    <w:bCs/>
                    <w:noProof w:val="0"/>
                    <w:sz w:val="26"/>
                    <w:szCs w:val="26"/>
                    <w:rtl/>
                  </w:rPr>
                  <w:t>********</w:t>
                </w:r>
              </w:sdtContent>
            </w:sdt>
          </w:p>
          <w:p w:rsidR="002914D6" w:rsidRDefault="005A10C4" w:rsidP="00237282">
            <w:pPr>
              <w:rPr>
                <w:b/>
                <w:bCs/>
                <w:noProof w:val="0"/>
                <w:sz w:val="26"/>
                <w:szCs w:val="26"/>
                <w:rtl/>
              </w:rPr>
            </w:pPr>
            <w:sdt>
              <w:sdtPr>
                <w:rPr>
                  <w:rtl/>
                </w:rPr>
                <w:alias w:val="1571"/>
                <w:tag w:val="1571"/>
                <w:id w:val="-468522549"/>
                <w:text w:multiLine="1"/>
              </w:sdtPr>
              <w:sdtEndPr/>
              <w:sdtContent>
                <w:r w:rsidR="00CC29C2">
                  <w:rPr>
                    <w:rFonts w:ascii="Arial" w:hAnsi="Arial"/>
                    <w:b/>
                    <w:bCs/>
                    <w:noProof w:val="0"/>
                    <w:sz w:val="26"/>
                    <w:szCs w:val="26"/>
                    <w:rtl/>
                  </w:rPr>
                  <w:t>3</w:t>
                </w:r>
              </w:sdtContent>
            </w:sdt>
            <w:r w:rsidR="00011212">
              <w:rPr>
                <w:rFonts w:ascii="Arial" w:hAnsi="Arial"/>
                <w:b/>
                <w:bCs/>
                <w:noProof w:val="0"/>
                <w:sz w:val="26"/>
                <w:szCs w:val="26"/>
                <w:rtl/>
              </w:rPr>
              <w:t xml:space="preserve">. </w:t>
            </w:r>
            <w:sdt>
              <w:sdtPr>
                <w:rPr>
                  <w:rtl/>
                </w:rPr>
                <w:alias w:val="1486"/>
                <w:tag w:val="1486"/>
                <w:id w:val="2075468856"/>
                <w:text w:multiLine="1"/>
              </w:sdtPr>
              <w:sdtEndPr/>
              <w:sdtContent>
                <w:r w:rsidR="00237282">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7"/>
                <w:tag w:val="2317"/>
                <w:id w:val="-952165393"/>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548687249"/>
                <w:text w:multiLine="1"/>
              </w:sdtPr>
              <w:sdtEndPr/>
              <w:sdtContent>
                <w:r w:rsidR="00237282">
                  <w:rPr>
                    <w:rFonts w:ascii="Arial" w:hAnsi="Arial" w:hint="cs"/>
                    <w:b/>
                    <w:bCs/>
                    <w:noProof w:val="0"/>
                    <w:sz w:val="26"/>
                    <w:szCs w:val="26"/>
                    <w:rtl/>
                  </w:rPr>
                  <w:t>********</w:t>
                </w:r>
              </w:sdtContent>
            </w:sdt>
          </w:p>
          <w:p w:rsidR="002914D6" w:rsidRDefault="005A10C4" w:rsidP="00237282">
            <w:pPr>
              <w:rPr>
                <w:b/>
                <w:bCs/>
                <w:noProof w:val="0"/>
                <w:sz w:val="26"/>
                <w:szCs w:val="26"/>
                <w:rtl/>
              </w:rPr>
            </w:pPr>
            <w:sdt>
              <w:sdtPr>
                <w:rPr>
                  <w:rtl/>
                </w:rPr>
                <w:alias w:val="1571"/>
                <w:tag w:val="1571"/>
                <w:id w:val="-853725652"/>
                <w:text w:multiLine="1"/>
              </w:sdtPr>
              <w:sdtEndPr/>
              <w:sdtContent>
                <w:r w:rsidR="00CC29C2">
                  <w:rPr>
                    <w:rFonts w:ascii="Arial" w:hAnsi="Arial"/>
                    <w:b/>
                    <w:bCs/>
                    <w:noProof w:val="0"/>
                    <w:sz w:val="26"/>
                    <w:szCs w:val="26"/>
                    <w:rtl/>
                  </w:rPr>
                  <w:t>4</w:t>
                </w:r>
              </w:sdtContent>
            </w:sdt>
            <w:r w:rsidR="00011212">
              <w:rPr>
                <w:rFonts w:ascii="Arial" w:hAnsi="Arial"/>
                <w:b/>
                <w:bCs/>
                <w:noProof w:val="0"/>
                <w:sz w:val="26"/>
                <w:szCs w:val="26"/>
                <w:rtl/>
              </w:rPr>
              <w:t xml:space="preserve">. </w:t>
            </w:r>
            <w:sdt>
              <w:sdtPr>
                <w:rPr>
                  <w:rtl/>
                </w:rPr>
                <w:alias w:val="1486"/>
                <w:tag w:val="1486"/>
                <w:id w:val="-1413461325"/>
                <w:text w:multiLine="1"/>
              </w:sdtPr>
              <w:sdtEndPr/>
              <w:sdtContent>
                <w:r w:rsidR="00237282">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7"/>
                <w:tag w:val="2317"/>
                <w:id w:val="-146442576"/>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1550608056"/>
                <w:text w:multiLine="1"/>
              </w:sdtPr>
              <w:sdtEndPr/>
              <w:sdtContent>
                <w:r w:rsidR="00237282">
                  <w:rPr>
                    <w:rFonts w:ascii="Arial" w:hAnsi="Arial" w:hint="cs"/>
                    <w:b/>
                    <w:bCs/>
                    <w:noProof w:val="0"/>
                    <w:sz w:val="26"/>
                    <w:szCs w:val="26"/>
                    <w:rtl/>
                  </w:rPr>
                  <w:t>*********</w:t>
                </w:r>
              </w:sdtContent>
            </w:sdt>
          </w:p>
        </w:tc>
      </w:tr>
    </w:tbl>
    <w:p w:rsidR="002914D6" w:rsidRDefault="002914D6" w:rsidP="00D903E2"/>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rsidP="00D903E2">
            <w:pPr>
              <w:bidi w:val="0"/>
              <w:jc w:val="center"/>
              <w:rPr>
                <w:rFonts w:ascii="Arial" w:hAnsi="Arial"/>
                <w:b/>
                <w:bCs/>
                <w:noProof w:val="0"/>
                <w:sz w:val="26"/>
                <w:szCs w:val="26"/>
              </w:rPr>
            </w:pPr>
          </w:p>
          <w:p w:rsidR="002914D6" w:rsidRDefault="00530E94" w:rsidP="00D903E2">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rsidP="00D903E2">
      <w:pPr>
        <w:jc w:val="both"/>
        <w:rPr>
          <w:rFonts w:ascii="Arial" w:hAnsi="Arial"/>
          <w:noProof w:val="0"/>
          <w:rtl/>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 xml:space="preserve">החלטה זו עניינה בבקשת תובעות (להלן יקראו המבקשות ו/או האלמנה בהתאמה) למתן צו מניעה זמני האוסר על ביצוע דיספוזיציות בנכסי מקרקעין שונים בהליך זה שעננינו ביטול הסתלקות מעיזבון וביטול צו ירושה שניתן בהתאם (ת"ע 57207-08-21), ובהליך הקשור (תמ"ש 56707-11-21) בו הוגשה תובענה נוספת ע"י אלמנת המנוח, המבקשת 1 לפסק דין הצהרתי מכוח הלכת השיתוף, וגם בו הוגשה בקשה לסעד זמני דומה (להלן הבקשה/הבקשות). </w:t>
      </w:r>
    </w:p>
    <w:p w:rsidR="00D903E2" w:rsidRPr="00D903E2" w:rsidRDefault="00D903E2" w:rsidP="00D903E2">
      <w:pPr>
        <w:pStyle w:val="ae"/>
        <w:spacing w:line="240" w:lineRule="auto"/>
        <w:ind w:left="368"/>
        <w:jc w:val="both"/>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ביום 23.10.22 התקיים בפניי דיון ארוך (במשך 4 שעות) בבקשות, אז העידו מי מהמבקשות והמשיבים. המשיב 3 לא הופיע לדיון אולם החלטה זו נוגעת גם אליו לפי מסקנותיה.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בהחלטה זו יובאו עיקרם של הדברים הנוגעים לסעד הזמני עפ"י הוראות תקנות סדר הדין האזרחי, התשע"ט-2018 המונות את הקריטריונים לפיהם יוטל הצו, ובשים לב כי בשלב זה ביהמ"ש אינו נכנס לעובי הקורה, אלא בוחן את הדברים על בסיס ראיות לכאורה. </w:t>
      </w:r>
    </w:p>
    <w:p w:rsidR="00D903E2" w:rsidRPr="00D903E2" w:rsidRDefault="00D903E2" w:rsidP="00D903E2">
      <w:pPr>
        <w:pStyle w:val="ae"/>
        <w:spacing w:line="240" w:lineRule="auto"/>
        <w:ind w:left="368"/>
        <w:jc w:val="both"/>
        <w:rPr>
          <w:rFonts w:ascii="David" w:hAnsi="David" w:cs="David"/>
          <w:sz w:val="24"/>
          <w:szCs w:val="24"/>
          <w:rtl/>
        </w:rPr>
      </w:pPr>
    </w:p>
    <w:p w:rsidR="00D903E2" w:rsidRDefault="00D903E2" w:rsidP="00D903E2">
      <w:pPr>
        <w:pStyle w:val="ae"/>
        <w:spacing w:line="240" w:lineRule="auto"/>
        <w:ind w:left="368"/>
        <w:jc w:val="both"/>
        <w:rPr>
          <w:rFonts w:ascii="David" w:hAnsi="David" w:cs="David"/>
          <w:b/>
          <w:bCs/>
          <w:sz w:val="24"/>
          <w:szCs w:val="24"/>
          <w:u w:val="single"/>
          <w:rtl/>
        </w:rPr>
      </w:pPr>
      <w:r w:rsidRPr="00D903E2">
        <w:rPr>
          <w:rFonts w:ascii="David" w:hAnsi="David" w:cs="David"/>
          <w:b/>
          <w:bCs/>
          <w:sz w:val="24"/>
          <w:szCs w:val="24"/>
          <w:u w:val="single"/>
          <w:rtl/>
        </w:rPr>
        <w:t>תמ"ש 56707-11-21</w:t>
      </w:r>
    </w:p>
    <w:p w:rsidR="003D7744" w:rsidRPr="00D903E2" w:rsidRDefault="003D7744" w:rsidP="00D903E2">
      <w:pPr>
        <w:pStyle w:val="ae"/>
        <w:spacing w:line="240" w:lineRule="auto"/>
        <w:ind w:left="368"/>
        <w:jc w:val="both"/>
        <w:rPr>
          <w:rFonts w:ascii="David" w:hAnsi="David" w:cs="David"/>
          <w:b/>
          <w:bCs/>
          <w:sz w:val="24"/>
          <w:szCs w:val="24"/>
          <w:u w:val="single"/>
          <w:rtl/>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בהליך הקשור עתרה האלמנה לפסק דין הצהרתי לפי היא הבעלים של מחצית מהרכוש שצברו היא והמנוח במהלך חיי הנישואין וכן עתרה לפסק דין המורה על קבלת מידע מלא באשר לנכסים, מידע המצוי בידי המשיבים.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8B0B7F">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האלמנה תלח"א, והמנוח ז"ל, נישאו זל"ז כדמו"י </w:t>
      </w:r>
      <w:r w:rsidR="00237282">
        <w:rPr>
          <w:rFonts w:ascii="David" w:hAnsi="David" w:cs="David" w:hint="cs"/>
          <w:sz w:val="24"/>
          <w:szCs w:val="24"/>
          <w:rtl/>
        </w:rPr>
        <w:t xml:space="preserve">בשנת </w:t>
      </w:r>
      <w:r w:rsidR="008B0B7F">
        <w:rPr>
          <w:rFonts w:ascii="David" w:hAnsi="David" w:cs="David" w:hint="cs"/>
          <w:sz w:val="24"/>
          <w:szCs w:val="24"/>
          <w:rtl/>
        </w:rPr>
        <w:t>****</w:t>
      </w:r>
      <w:r w:rsidRPr="00D903E2">
        <w:rPr>
          <w:rFonts w:ascii="David" w:hAnsi="David" w:cs="David"/>
          <w:sz w:val="24"/>
          <w:szCs w:val="24"/>
          <w:rtl/>
        </w:rPr>
        <w:t xml:space="preserve">, ונולדו להם 9 ילידם, 6 בנות ו-3 בנים (להלן בנהי"ז).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ברישא לדברים, למען הסדר הטוב יוזכר כי </w:t>
      </w:r>
      <w:r w:rsidRPr="00D903E2">
        <w:rPr>
          <w:rFonts w:ascii="David" w:eastAsia="Times New Roman" w:hAnsi="David" w:cs="David"/>
          <w:sz w:val="24"/>
          <w:szCs w:val="24"/>
          <w:rtl/>
        </w:rPr>
        <w:t xml:space="preserve">על בני-זוג שנישאו קודם לכניסתו לתוקף של </w:t>
      </w:r>
      <w:hyperlink r:id="rId8" w:history="1">
        <w:r w:rsidRPr="00D903E2">
          <w:rPr>
            <w:rStyle w:val="Hyperlink"/>
            <w:rFonts w:ascii="David" w:eastAsia="Times New Roman" w:hAnsi="David" w:cs="David"/>
            <w:sz w:val="24"/>
            <w:szCs w:val="24"/>
            <w:rtl/>
          </w:rPr>
          <w:t>חוק יחסי ממון בין בני זוג</w:t>
        </w:r>
      </w:hyperlink>
      <w:r w:rsidRPr="00D903E2">
        <w:rPr>
          <w:rFonts w:ascii="David" w:eastAsia="Times New Roman" w:hAnsi="David" w:cs="David"/>
          <w:sz w:val="24"/>
          <w:szCs w:val="24"/>
          <w:rtl/>
        </w:rPr>
        <w:t>, תשל"ג-1973 חלה הילכת השיתוף בנכסים, המשיבים גם לא טענו כי חזקת השיתוף לא חלה בנדון דנן.</w:t>
      </w:r>
    </w:p>
    <w:p w:rsidR="00D903E2" w:rsidRPr="00D903E2" w:rsidRDefault="00D903E2" w:rsidP="00D903E2">
      <w:pPr>
        <w:pStyle w:val="ae"/>
        <w:spacing w:line="240" w:lineRule="auto"/>
        <w:rPr>
          <w:rFonts w:ascii="David" w:eastAsia="Times New Roman" w:hAnsi="David" w:cs="David"/>
          <w:b/>
          <w:bCs/>
          <w:sz w:val="24"/>
          <w:szCs w:val="24"/>
        </w:rPr>
      </w:pPr>
    </w:p>
    <w:p w:rsidR="00D903E2" w:rsidRPr="00D903E2" w:rsidRDefault="00D903E2" w:rsidP="00D903E2">
      <w:pPr>
        <w:pStyle w:val="ae"/>
        <w:spacing w:line="240" w:lineRule="auto"/>
        <w:ind w:left="368"/>
        <w:jc w:val="both"/>
        <w:rPr>
          <w:rFonts w:ascii="David" w:hAnsi="David" w:cs="David"/>
          <w:sz w:val="24"/>
          <w:szCs w:val="24"/>
          <w:rtl/>
        </w:rPr>
      </w:pPr>
      <w:r w:rsidRPr="00D903E2">
        <w:rPr>
          <w:rFonts w:ascii="David" w:eastAsia="Times New Roman" w:hAnsi="David" w:cs="David"/>
          <w:b/>
          <w:bCs/>
          <w:sz w:val="24"/>
          <w:szCs w:val="24"/>
          <w:rtl/>
        </w:rPr>
        <w:t xml:space="preserve">"עיקרה של הילכת השיתוף בין בני-זוג כמשמעה בדין האזרחי הוא בקיומה של חזקה הניתנת לסתירה שלפיה בני-זוג המנהלים אורח חיים תקין ומאמץ משותף מתכוונים כי רכוש הנצבר על-ידיהם במהלך חייהם המשותפים יימצא בבעלותם המשותפת " </w:t>
      </w:r>
      <w:hyperlink r:id="rId9" w:history="1">
        <w:r w:rsidRPr="00D903E2">
          <w:rPr>
            <w:rStyle w:val="Hyperlink"/>
            <w:rFonts w:ascii="David" w:eastAsia="Times New Roman" w:hAnsi="David" w:cs="David"/>
            <w:b/>
            <w:bCs/>
            <w:sz w:val="24"/>
            <w:szCs w:val="24"/>
            <w:rtl/>
          </w:rPr>
          <w:t>בגץ 2222/99</w:t>
        </w:r>
      </w:hyperlink>
      <w:r w:rsidRPr="00D903E2">
        <w:rPr>
          <w:rFonts w:ascii="David" w:eastAsia="Times New Roman" w:hAnsi="David" w:cs="David"/>
          <w:b/>
          <w:bCs/>
          <w:sz w:val="24"/>
          <w:szCs w:val="24"/>
          <w:rtl/>
        </w:rPr>
        <w:t xml:space="preserve">‏ גבאי נ' בית-הדין הרבני הגדול, פ''ד נד(5) 401; ראה גם </w:t>
      </w:r>
      <w:hyperlink r:id="rId10" w:history="1">
        <w:r w:rsidRPr="00D903E2">
          <w:rPr>
            <w:rStyle w:val="Hyperlink"/>
            <w:rFonts w:ascii="David" w:eastAsia="Times New Roman" w:hAnsi="David" w:cs="David"/>
            <w:b/>
            <w:bCs/>
            <w:sz w:val="24"/>
            <w:szCs w:val="24"/>
            <w:rtl/>
          </w:rPr>
          <w:t>עא 1915/91</w:t>
        </w:r>
      </w:hyperlink>
      <w:r w:rsidRPr="00D903E2">
        <w:rPr>
          <w:rFonts w:ascii="David" w:eastAsia="Times New Roman" w:hAnsi="David" w:cs="David"/>
          <w:b/>
          <w:bCs/>
          <w:sz w:val="24"/>
          <w:szCs w:val="24"/>
          <w:rtl/>
        </w:rPr>
        <w:t xml:space="preserve"> אסתר יעקובי נ' עזרא יעקובי, פ''ד מט(3) 529; </w:t>
      </w:r>
      <w:hyperlink r:id="rId11" w:history="1">
        <w:r w:rsidRPr="00D903E2">
          <w:rPr>
            <w:rStyle w:val="Hyperlink"/>
            <w:rFonts w:ascii="David" w:eastAsia="Times New Roman" w:hAnsi="David" w:cs="David"/>
            <w:b/>
            <w:bCs/>
            <w:sz w:val="24"/>
            <w:szCs w:val="24"/>
            <w:rtl/>
          </w:rPr>
          <w:t>רעא 8791/00</w:t>
        </w:r>
      </w:hyperlink>
      <w:r w:rsidRPr="00D903E2">
        <w:rPr>
          <w:rFonts w:ascii="David" w:eastAsia="Times New Roman" w:hAnsi="David" w:cs="David"/>
          <w:b/>
          <w:bCs/>
          <w:sz w:val="24"/>
          <w:szCs w:val="24"/>
          <w:rtl/>
        </w:rPr>
        <w:t xml:space="preserve">‏ ‏ אניטה שלם נ' טווינקו בע"מ, פ''ד סב(1) 165); עוד נקבע בפסיקה , כי  :"עם תחילת פיתוחה של הילכת השיתוף על-ידי בית המשפט הוטל על בן הזוג הטוען לשיתוף להצביע על נישואים הרמוניים, ולהוכיח כי הנכסים נרכשו ב"מאמץ משותף". במשך </w:t>
      </w:r>
      <w:r w:rsidRPr="00D903E2">
        <w:rPr>
          <w:rFonts w:ascii="David" w:eastAsia="Times New Roman" w:hAnsi="David" w:cs="David"/>
          <w:b/>
          <w:bCs/>
          <w:sz w:val="24"/>
          <w:szCs w:val="24"/>
          <w:rtl/>
        </w:rPr>
        <w:lastRenderedPageBreak/>
        <w:t>הזמן צומצמה דרישה זו עד למינימום של חיים משותפים תחת קורת גג אחת, ללא קרע או פירוד ממשיים (...בפסיקה המאוחרת, פרשנות המונח "שלום בית" קיבלה תפנית אובייקטיבית בכיוון של חיים משותפים תוך מאמץ משותף "(</w:t>
      </w:r>
      <w:hyperlink r:id="rId12" w:history="1">
        <w:r w:rsidRPr="00D903E2">
          <w:rPr>
            <w:rStyle w:val="Hyperlink"/>
            <w:rFonts w:ascii="David" w:eastAsia="Times New Roman" w:hAnsi="David" w:cs="David"/>
            <w:sz w:val="24"/>
            <w:szCs w:val="24"/>
            <w:rtl/>
          </w:rPr>
          <w:t>עא 819/94</w:t>
        </w:r>
      </w:hyperlink>
      <w:r w:rsidRPr="00D903E2">
        <w:rPr>
          <w:rFonts w:ascii="David" w:eastAsia="Times New Roman" w:hAnsi="David" w:cs="David"/>
          <w:sz w:val="24"/>
          <w:szCs w:val="24"/>
          <w:rtl/>
        </w:rPr>
        <w:t xml:space="preserve">‏ </w:t>
      </w:r>
      <w:r w:rsidRPr="00D903E2">
        <w:rPr>
          <w:rFonts w:ascii="David" w:eastAsia="Times New Roman" w:hAnsi="David" w:cs="David"/>
          <w:sz w:val="24"/>
          <w:szCs w:val="24"/>
          <w:cs/>
        </w:rPr>
        <w:t>‎</w:t>
      </w:r>
      <w:r w:rsidRPr="00D903E2">
        <w:rPr>
          <w:rFonts w:ascii="David" w:eastAsia="Times New Roman" w:hAnsi="David" w:cs="David"/>
          <w:sz w:val="24"/>
          <w:szCs w:val="24"/>
        </w:rPr>
        <w:t xml:space="preserve"> </w:t>
      </w:r>
      <w:r w:rsidRPr="00D903E2">
        <w:rPr>
          <w:rFonts w:ascii="David" w:eastAsia="Times New Roman" w:hAnsi="David" w:cs="David"/>
          <w:sz w:val="24"/>
          <w:szCs w:val="24"/>
          <w:cs/>
        </w:rPr>
        <w:t>‎</w:t>
      </w:r>
      <w:r w:rsidRPr="00D903E2">
        <w:rPr>
          <w:rFonts w:ascii="David" w:eastAsia="Times New Roman" w:hAnsi="David" w:cs="David"/>
          <w:sz w:val="24"/>
          <w:szCs w:val="24"/>
          <w:rtl/>
        </w:rPr>
        <w:t>שולמית לוי</w:t>
      </w:r>
      <w:r w:rsidRPr="00D903E2">
        <w:rPr>
          <w:rFonts w:ascii="David" w:eastAsia="Times New Roman" w:hAnsi="David" w:cs="David"/>
          <w:sz w:val="24"/>
          <w:szCs w:val="24"/>
          <w:cs/>
        </w:rPr>
        <w:t>‎</w:t>
      </w:r>
      <w:r w:rsidRPr="00D903E2">
        <w:rPr>
          <w:rFonts w:ascii="David" w:eastAsia="Times New Roman" w:hAnsi="David" w:cs="David"/>
          <w:sz w:val="24"/>
          <w:szCs w:val="24"/>
        </w:rPr>
        <w:t xml:space="preserve"> </w:t>
      </w:r>
      <w:r w:rsidRPr="00D903E2">
        <w:rPr>
          <w:rFonts w:ascii="David" w:eastAsia="Times New Roman" w:hAnsi="David" w:cs="David"/>
          <w:sz w:val="24"/>
          <w:szCs w:val="24"/>
          <w:cs/>
        </w:rPr>
        <w:t>‎</w:t>
      </w:r>
      <w:r w:rsidRPr="00D903E2">
        <w:rPr>
          <w:rFonts w:ascii="David" w:eastAsia="Times New Roman" w:hAnsi="David" w:cs="David"/>
          <w:sz w:val="24"/>
          <w:szCs w:val="24"/>
          <w:rtl/>
        </w:rPr>
        <w:t>נ' דוד לוי, פ''ד נ(1) 300)</w:t>
      </w:r>
    </w:p>
    <w:p w:rsidR="00D903E2" w:rsidRPr="00D903E2" w:rsidRDefault="00D903E2" w:rsidP="00D903E2">
      <w:pPr>
        <w:pStyle w:val="ae"/>
        <w:spacing w:line="240" w:lineRule="auto"/>
        <w:ind w:left="368"/>
        <w:jc w:val="both"/>
        <w:rPr>
          <w:rFonts w:ascii="David" w:hAnsi="David" w:cs="David"/>
          <w:sz w:val="24"/>
          <w:szCs w:val="24"/>
          <w:rtl/>
        </w:rPr>
      </w:pPr>
      <w:r w:rsidRPr="00D903E2">
        <w:rPr>
          <w:rFonts w:ascii="David" w:hAnsi="David" w:cs="David"/>
          <w:sz w:val="24"/>
          <w:szCs w:val="24"/>
          <w:rtl/>
        </w:rPr>
        <w:t xml:space="preserve"> </w:t>
      </w:r>
    </w:p>
    <w:p w:rsidR="00D903E2" w:rsidRPr="00D903E2"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 xml:space="preserve">בהתאם, באופן עקרוני בני-זוג הינם הבעלים שנצברו במהלך חיי הנישואים בחלקים שווים.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עפ"י חוק הירושה, תשכ"ה-1965(בפרק ב'), כאשר אדם הולך לבית עולמו, בן הזוג נותר עם המחצית השייכת לו ממילא, והיורשים כולם חולקים את 50% האחרים, השייכים למנוח, באופן בו האלמן/נה יורשים 25% והילדים יורשים 25% כולם יחד.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spacing w:line="240" w:lineRule="auto"/>
        <w:ind w:left="368"/>
        <w:jc w:val="both"/>
        <w:rPr>
          <w:rFonts w:ascii="David" w:hAnsi="David" w:cs="David"/>
          <w:b/>
          <w:bCs/>
          <w:sz w:val="24"/>
          <w:szCs w:val="24"/>
          <w:u w:val="single"/>
          <w:rtl/>
        </w:rPr>
      </w:pPr>
      <w:r w:rsidRPr="00D903E2">
        <w:rPr>
          <w:rFonts w:ascii="David" w:hAnsi="David" w:cs="David"/>
          <w:b/>
          <w:bCs/>
          <w:sz w:val="24"/>
          <w:szCs w:val="24"/>
          <w:u w:val="single"/>
          <w:rtl/>
        </w:rPr>
        <w:t>המקרה שלפניי</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23728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בניה"ז כאמור נישאו ביום </w:t>
      </w:r>
      <w:r w:rsidR="00237282">
        <w:rPr>
          <w:rFonts w:ascii="David" w:hAnsi="David" w:cs="David" w:hint="cs"/>
          <w:sz w:val="24"/>
          <w:szCs w:val="24"/>
          <w:rtl/>
        </w:rPr>
        <w:t>**.**.**</w:t>
      </w:r>
      <w:r w:rsidRPr="00D903E2">
        <w:rPr>
          <w:rFonts w:ascii="David" w:hAnsi="David" w:cs="David"/>
          <w:sz w:val="24"/>
          <w:szCs w:val="24"/>
          <w:rtl/>
        </w:rPr>
        <w:t xml:space="preserve">. </w:t>
      </w:r>
    </w:p>
    <w:p w:rsidR="00D903E2" w:rsidRPr="00D903E2" w:rsidRDefault="00D903E2" w:rsidP="00D903E2">
      <w:pPr>
        <w:pStyle w:val="ae"/>
        <w:spacing w:line="240" w:lineRule="auto"/>
        <w:ind w:left="368"/>
        <w:jc w:val="both"/>
        <w:rPr>
          <w:rFonts w:ascii="David" w:hAnsi="David" w:cs="David"/>
          <w:sz w:val="24"/>
          <w:szCs w:val="24"/>
        </w:rPr>
      </w:pPr>
      <w:r w:rsidRPr="00D903E2">
        <w:rPr>
          <w:rFonts w:ascii="David" w:hAnsi="David" w:cs="David"/>
          <w:sz w:val="24"/>
          <w:szCs w:val="24"/>
          <w:rtl/>
        </w:rPr>
        <w:t xml:space="preserve"> </w:t>
      </w:r>
    </w:p>
    <w:p w:rsidR="00D903E2" w:rsidRPr="00D903E2" w:rsidRDefault="00D903E2" w:rsidP="0023728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 xml:space="preserve">ביום </w:t>
      </w:r>
      <w:r w:rsidR="00237282">
        <w:rPr>
          <w:rFonts w:ascii="David" w:hAnsi="David" w:cs="David" w:hint="cs"/>
          <w:sz w:val="24"/>
          <w:szCs w:val="24"/>
          <w:rtl/>
        </w:rPr>
        <w:t>**.**.**</w:t>
      </w:r>
      <w:r w:rsidRPr="00D903E2">
        <w:rPr>
          <w:rFonts w:ascii="David" w:hAnsi="David" w:cs="David"/>
          <w:sz w:val="24"/>
          <w:szCs w:val="24"/>
          <w:rtl/>
        </w:rPr>
        <w:t xml:space="preserve"> נפטר המנוח. </w:t>
      </w:r>
    </w:p>
    <w:p w:rsidR="00D903E2" w:rsidRPr="00D903E2" w:rsidRDefault="00D903E2" w:rsidP="00D903E2">
      <w:pPr>
        <w:pStyle w:val="ae"/>
        <w:spacing w:line="240" w:lineRule="auto"/>
        <w:rPr>
          <w:rFonts w:ascii="David" w:hAnsi="David" w:cs="David"/>
          <w:sz w:val="24"/>
          <w:szCs w:val="24"/>
        </w:rPr>
      </w:pPr>
    </w:p>
    <w:p w:rsidR="00D903E2" w:rsidRDefault="00D903E2" w:rsidP="0023728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 xml:space="preserve">ביום </w:t>
      </w:r>
      <w:r w:rsidR="00237282">
        <w:rPr>
          <w:rFonts w:ascii="David" w:hAnsi="David" w:cs="David" w:hint="cs"/>
          <w:sz w:val="24"/>
          <w:szCs w:val="24"/>
          <w:rtl/>
        </w:rPr>
        <w:t>**.**.**</w:t>
      </w:r>
      <w:r w:rsidRPr="00D903E2">
        <w:rPr>
          <w:rFonts w:ascii="David" w:hAnsi="David" w:cs="David"/>
          <w:sz w:val="24"/>
          <w:szCs w:val="24"/>
          <w:rtl/>
        </w:rPr>
        <w:t xml:space="preserve"> - כ-11 שנה לאחר פטירת המנוח הגישה האלמנה תביעה לפסק דין הצהרתי. </w:t>
      </w:r>
    </w:p>
    <w:p w:rsidR="008B0B7F" w:rsidRPr="008B0B7F" w:rsidRDefault="008B0B7F" w:rsidP="008B0B7F">
      <w:pPr>
        <w:pStyle w:val="ae"/>
        <w:rPr>
          <w:rFonts w:ascii="David" w:hAnsi="David" w:cs="David"/>
          <w:sz w:val="24"/>
          <w:szCs w:val="24"/>
          <w:rtl/>
        </w:rPr>
      </w:pPr>
    </w:p>
    <w:p w:rsidR="00D903E2" w:rsidRPr="00D903E2" w:rsidRDefault="00D903E2" w:rsidP="008B0B7F">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באשר לתביעת האלמנה בתמ"ש 56707-11-21 נטע</w:t>
      </w:r>
      <w:r w:rsidR="008B0B7F">
        <w:rPr>
          <w:rFonts w:ascii="David" w:hAnsi="David" w:cs="David" w:hint="cs"/>
          <w:sz w:val="24"/>
          <w:szCs w:val="24"/>
          <w:rtl/>
        </w:rPr>
        <w:t>ן</w:t>
      </w:r>
      <w:r w:rsidRPr="00D903E2">
        <w:rPr>
          <w:rFonts w:ascii="David" w:hAnsi="David" w:cs="David"/>
          <w:sz w:val="24"/>
          <w:szCs w:val="24"/>
          <w:rtl/>
        </w:rPr>
        <w:t xml:space="preserve"> על-ידה כי בניה"ז היו נשואים </w:t>
      </w:r>
      <w:r w:rsidR="008B0B7F">
        <w:rPr>
          <w:rFonts w:ascii="David" w:hAnsi="David" w:cs="David" w:hint="cs"/>
          <w:sz w:val="24"/>
          <w:szCs w:val="24"/>
          <w:rtl/>
        </w:rPr>
        <w:t xml:space="preserve">** </w:t>
      </w:r>
      <w:r w:rsidRPr="00D903E2">
        <w:rPr>
          <w:rFonts w:ascii="David" w:hAnsi="David" w:cs="David"/>
          <w:sz w:val="24"/>
          <w:szCs w:val="24"/>
          <w:rtl/>
        </w:rPr>
        <w:t>שנים וניהלו משק בית משותף.</w:t>
      </w:r>
    </w:p>
    <w:p w:rsidR="00D903E2" w:rsidRPr="00D903E2" w:rsidRDefault="00D903E2" w:rsidP="00D903E2">
      <w:pPr>
        <w:pStyle w:val="ae"/>
        <w:spacing w:line="240" w:lineRule="auto"/>
        <w:ind w:left="368"/>
        <w:jc w:val="both"/>
        <w:rPr>
          <w:rFonts w:ascii="David" w:hAnsi="David" w:cs="David"/>
          <w:sz w:val="24"/>
          <w:szCs w:val="24"/>
        </w:rPr>
      </w:pPr>
      <w:r w:rsidRPr="00D903E2">
        <w:rPr>
          <w:rFonts w:ascii="David" w:hAnsi="David" w:cs="David"/>
          <w:sz w:val="24"/>
          <w:szCs w:val="24"/>
          <w:rtl/>
        </w:rPr>
        <w:t xml:space="preserve"> </w:t>
      </w:r>
    </w:p>
    <w:p w:rsidR="00D903E2" w:rsidRPr="00D903E2"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 xml:space="preserve">האלמנה טענה כי ההליך הנ"ל והיותה בעלים של 50% מהרכוש שצברו בניה"ז במהלך חיי הנישואין אינה קשורה בהסתלקותה מעיזבון המנוח, שנוגע לבעלות המנוח ב-50% האחרים, ולגבי הסתלקות, ישנן כאמור השגות והליך נפרד.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במהלך חיי הנישואין צברו בניה"ז נכסים רבים ובהם: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237282">
      <w:pPr>
        <w:pStyle w:val="ae"/>
        <w:numPr>
          <w:ilvl w:val="0"/>
          <w:numId w:val="2"/>
        </w:numPr>
        <w:spacing w:line="240" w:lineRule="auto"/>
        <w:jc w:val="both"/>
        <w:rPr>
          <w:rFonts w:ascii="David" w:hAnsi="David" w:cs="David"/>
          <w:sz w:val="24"/>
          <w:szCs w:val="24"/>
          <w:rtl/>
        </w:rPr>
      </w:pPr>
      <w:r w:rsidRPr="00D903E2">
        <w:rPr>
          <w:rFonts w:ascii="David" w:hAnsi="David" w:cs="David"/>
          <w:sz w:val="24"/>
          <w:szCs w:val="24"/>
          <w:rtl/>
        </w:rPr>
        <w:t xml:space="preserve">נכס מקרקעין ברח' </w:t>
      </w:r>
      <w:r w:rsidR="00237282">
        <w:rPr>
          <w:rFonts w:ascii="David" w:hAnsi="David" w:cs="David" w:hint="cs"/>
          <w:sz w:val="24"/>
          <w:szCs w:val="24"/>
          <w:rtl/>
        </w:rPr>
        <w:t>******** **</w:t>
      </w:r>
      <w:r w:rsidRPr="00D903E2">
        <w:rPr>
          <w:rFonts w:ascii="David" w:hAnsi="David" w:cs="David"/>
          <w:sz w:val="24"/>
          <w:szCs w:val="24"/>
          <w:rtl/>
        </w:rPr>
        <w:t xml:space="preserve">, ירושלים – הוא הבית המשותף בו התגורר בניה"ז. </w:t>
      </w:r>
    </w:p>
    <w:p w:rsidR="00D903E2" w:rsidRPr="00D903E2" w:rsidRDefault="00D903E2" w:rsidP="008B0B7F">
      <w:pPr>
        <w:pStyle w:val="ae"/>
        <w:numPr>
          <w:ilvl w:val="0"/>
          <w:numId w:val="2"/>
        </w:numPr>
        <w:spacing w:line="240" w:lineRule="auto"/>
        <w:jc w:val="both"/>
        <w:rPr>
          <w:rFonts w:ascii="David" w:hAnsi="David" w:cs="David"/>
          <w:sz w:val="24"/>
          <w:szCs w:val="24"/>
        </w:rPr>
      </w:pPr>
      <w:r w:rsidRPr="00D903E2">
        <w:rPr>
          <w:rFonts w:ascii="David" w:hAnsi="David" w:cs="David"/>
          <w:sz w:val="24"/>
          <w:szCs w:val="24"/>
          <w:rtl/>
        </w:rPr>
        <w:t xml:space="preserve">נכס מקרקעין ביישוב </w:t>
      </w:r>
      <w:r w:rsidR="00237282">
        <w:rPr>
          <w:rFonts w:ascii="David" w:hAnsi="David" w:cs="David" w:hint="cs"/>
          <w:sz w:val="24"/>
          <w:szCs w:val="24"/>
          <w:rtl/>
        </w:rPr>
        <w:t>**** ***</w:t>
      </w:r>
      <w:r w:rsidRPr="00D903E2">
        <w:rPr>
          <w:rFonts w:ascii="David" w:hAnsi="David" w:cs="David"/>
          <w:sz w:val="24"/>
          <w:szCs w:val="24"/>
          <w:rtl/>
        </w:rPr>
        <w:t xml:space="preserve"> – קרקע במוש"ע </w:t>
      </w:r>
      <w:r w:rsidR="008B0B7F">
        <w:rPr>
          <w:rFonts w:ascii="David" w:hAnsi="David" w:cs="David" w:hint="cs"/>
          <w:sz w:val="24"/>
          <w:szCs w:val="24"/>
          <w:rtl/>
        </w:rPr>
        <w:t>*****</w:t>
      </w:r>
      <w:r w:rsidRPr="00D903E2">
        <w:rPr>
          <w:rFonts w:ascii="David" w:hAnsi="David" w:cs="David"/>
          <w:sz w:val="24"/>
          <w:szCs w:val="24"/>
          <w:rtl/>
        </w:rPr>
        <w:t xml:space="preserve"> מ"ר באדמות הכפר </w:t>
      </w:r>
      <w:r w:rsidR="00237282">
        <w:rPr>
          <w:rFonts w:ascii="David" w:hAnsi="David" w:cs="David" w:hint="cs"/>
          <w:sz w:val="24"/>
          <w:szCs w:val="24"/>
          <w:rtl/>
        </w:rPr>
        <w:t>** ***</w:t>
      </w:r>
      <w:r w:rsidR="00237282">
        <w:rPr>
          <w:rFonts w:ascii="David" w:hAnsi="David" w:cs="David"/>
          <w:sz w:val="24"/>
          <w:szCs w:val="24"/>
          <w:rtl/>
        </w:rPr>
        <w:t>, הרשומה בספר</w:t>
      </w:r>
      <w:r w:rsidR="00237282">
        <w:rPr>
          <w:rFonts w:ascii="David" w:hAnsi="David" w:cs="David" w:hint="cs"/>
          <w:sz w:val="24"/>
          <w:szCs w:val="24"/>
          <w:rtl/>
        </w:rPr>
        <w:t xml:space="preserve"> *</w:t>
      </w:r>
      <w:r w:rsidR="00237282">
        <w:rPr>
          <w:rFonts w:ascii="David" w:hAnsi="David" w:cs="David"/>
          <w:sz w:val="24"/>
          <w:szCs w:val="24"/>
          <w:rtl/>
        </w:rPr>
        <w:t xml:space="preserve">, ערבי, דף </w:t>
      </w:r>
      <w:r w:rsidR="00237282">
        <w:rPr>
          <w:rFonts w:ascii="David" w:hAnsi="David" w:cs="David" w:hint="cs"/>
          <w:sz w:val="24"/>
          <w:szCs w:val="24"/>
          <w:rtl/>
        </w:rPr>
        <w:t>**</w:t>
      </w:r>
      <w:r w:rsidR="00237282">
        <w:rPr>
          <w:rFonts w:ascii="David" w:hAnsi="David" w:cs="David"/>
          <w:sz w:val="24"/>
          <w:szCs w:val="24"/>
          <w:rtl/>
        </w:rPr>
        <w:t xml:space="preserve">, הידועה כגוש פיסיקאלי </w:t>
      </w:r>
      <w:r w:rsidR="00237282">
        <w:rPr>
          <w:rFonts w:ascii="David" w:hAnsi="David" w:cs="David" w:hint="cs"/>
          <w:sz w:val="24"/>
          <w:szCs w:val="24"/>
          <w:rtl/>
        </w:rPr>
        <w:t>*</w:t>
      </w:r>
      <w:r w:rsidR="00237282">
        <w:rPr>
          <w:rFonts w:ascii="David" w:hAnsi="David" w:cs="David"/>
          <w:sz w:val="24"/>
          <w:szCs w:val="24"/>
          <w:rtl/>
        </w:rPr>
        <w:t xml:space="preserve"> חלקה </w:t>
      </w:r>
      <w:r w:rsidR="00237282">
        <w:rPr>
          <w:rFonts w:ascii="David" w:hAnsi="David" w:cs="David" w:hint="cs"/>
          <w:sz w:val="24"/>
          <w:szCs w:val="24"/>
          <w:rtl/>
        </w:rPr>
        <w:t>***</w:t>
      </w:r>
      <w:r w:rsidRPr="00D903E2">
        <w:rPr>
          <w:rFonts w:ascii="David" w:hAnsi="David" w:cs="David"/>
          <w:sz w:val="24"/>
          <w:szCs w:val="24"/>
          <w:rtl/>
        </w:rPr>
        <w:t xml:space="preserve">. </w:t>
      </w:r>
    </w:p>
    <w:p w:rsidR="00D903E2" w:rsidRPr="00D903E2" w:rsidRDefault="00237282" w:rsidP="00D903E2">
      <w:pPr>
        <w:pStyle w:val="ae"/>
        <w:numPr>
          <w:ilvl w:val="0"/>
          <w:numId w:val="2"/>
        </w:numPr>
        <w:spacing w:line="240" w:lineRule="auto"/>
        <w:jc w:val="both"/>
        <w:rPr>
          <w:rFonts w:ascii="David" w:hAnsi="David" w:cs="David"/>
          <w:sz w:val="24"/>
          <w:szCs w:val="24"/>
          <w:rtl/>
        </w:rPr>
      </w:pPr>
      <w:r>
        <w:rPr>
          <w:rFonts w:ascii="David" w:hAnsi="David" w:cs="David"/>
          <w:sz w:val="24"/>
          <w:szCs w:val="24"/>
          <w:rtl/>
        </w:rPr>
        <w:t xml:space="preserve">מקרקעין ביישוב </w:t>
      </w:r>
      <w:r>
        <w:rPr>
          <w:rFonts w:ascii="David" w:hAnsi="David" w:cs="David" w:hint="cs"/>
          <w:sz w:val="24"/>
          <w:szCs w:val="24"/>
          <w:rtl/>
        </w:rPr>
        <w:t>*******</w:t>
      </w:r>
    </w:p>
    <w:p w:rsidR="00D903E2" w:rsidRPr="00D903E2" w:rsidRDefault="00D903E2" w:rsidP="00237282">
      <w:pPr>
        <w:pStyle w:val="ae"/>
        <w:numPr>
          <w:ilvl w:val="0"/>
          <w:numId w:val="2"/>
        </w:numPr>
        <w:spacing w:line="240" w:lineRule="auto"/>
        <w:jc w:val="both"/>
        <w:rPr>
          <w:rFonts w:ascii="David" w:hAnsi="David" w:cs="David"/>
          <w:sz w:val="24"/>
          <w:szCs w:val="24"/>
          <w:rtl/>
        </w:rPr>
      </w:pPr>
      <w:r w:rsidRPr="00D903E2">
        <w:rPr>
          <w:rFonts w:ascii="David" w:hAnsi="David" w:cs="David"/>
          <w:sz w:val="24"/>
          <w:szCs w:val="24"/>
          <w:rtl/>
        </w:rPr>
        <w:t xml:space="preserve">מגרש בשכונת </w:t>
      </w:r>
      <w:r w:rsidR="00237282">
        <w:rPr>
          <w:rFonts w:ascii="David" w:hAnsi="David" w:cs="David" w:hint="cs"/>
          <w:sz w:val="24"/>
          <w:szCs w:val="24"/>
          <w:rtl/>
        </w:rPr>
        <w:t xml:space="preserve">**** </w:t>
      </w:r>
      <w:r w:rsidRPr="00D903E2">
        <w:rPr>
          <w:rFonts w:ascii="David" w:hAnsi="David" w:cs="David"/>
          <w:sz w:val="24"/>
          <w:szCs w:val="24"/>
          <w:rtl/>
        </w:rPr>
        <w:t>בירושלים</w:t>
      </w:r>
    </w:p>
    <w:p w:rsidR="00D903E2" w:rsidRPr="00D903E2" w:rsidRDefault="00D903E2" w:rsidP="00237282">
      <w:pPr>
        <w:pStyle w:val="ae"/>
        <w:numPr>
          <w:ilvl w:val="0"/>
          <w:numId w:val="2"/>
        </w:numPr>
        <w:spacing w:line="240" w:lineRule="auto"/>
        <w:jc w:val="both"/>
        <w:rPr>
          <w:rFonts w:ascii="David" w:hAnsi="David" w:cs="David"/>
          <w:sz w:val="24"/>
          <w:szCs w:val="24"/>
          <w:rtl/>
        </w:rPr>
      </w:pPr>
      <w:r w:rsidRPr="00D903E2">
        <w:rPr>
          <w:rFonts w:ascii="David" w:hAnsi="David" w:cs="David"/>
          <w:sz w:val="24"/>
          <w:szCs w:val="24"/>
          <w:rtl/>
        </w:rPr>
        <w:t xml:space="preserve">נכס בחדרה הידוע כגוש </w:t>
      </w:r>
      <w:r w:rsidR="00237282">
        <w:rPr>
          <w:rFonts w:ascii="David" w:hAnsi="David" w:cs="David" w:hint="cs"/>
          <w:sz w:val="24"/>
          <w:szCs w:val="24"/>
          <w:rtl/>
        </w:rPr>
        <w:t>*****</w:t>
      </w:r>
      <w:r w:rsidRPr="00D903E2">
        <w:rPr>
          <w:rFonts w:ascii="David" w:hAnsi="David" w:cs="David"/>
          <w:sz w:val="24"/>
          <w:szCs w:val="24"/>
          <w:rtl/>
        </w:rPr>
        <w:t xml:space="preserve">, חלקה </w:t>
      </w:r>
      <w:r w:rsidR="00237282">
        <w:rPr>
          <w:rFonts w:ascii="David" w:hAnsi="David" w:cs="David" w:hint="cs"/>
          <w:sz w:val="24"/>
          <w:szCs w:val="24"/>
          <w:rtl/>
        </w:rPr>
        <w:t>**</w:t>
      </w:r>
      <w:r w:rsidRPr="00D903E2">
        <w:rPr>
          <w:rFonts w:ascii="David" w:hAnsi="David" w:cs="David"/>
          <w:sz w:val="24"/>
          <w:szCs w:val="24"/>
          <w:rtl/>
        </w:rPr>
        <w:t xml:space="preserve">, דרך </w:t>
      </w:r>
      <w:r w:rsidR="00237282">
        <w:rPr>
          <w:rFonts w:ascii="David" w:hAnsi="David" w:cs="David" w:hint="cs"/>
          <w:sz w:val="24"/>
          <w:szCs w:val="24"/>
          <w:rtl/>
        </w:rPr>
        <w:t>*</w:t>
      </w:r>
      <w:r w:rsidRPr="00D903E2">
        <w:rPr>
          <w:rFonts w:ascii="David" w:hAnsi="David" w:cs="David"/>
          <w:sz w:val="24"/>
          <w:szCs w:val="24"/>
          <w:rtl/>
        </w:rPr>
        <w:t xml:space="preserve">, קטע </w:t>
      </w:r>
      <w:r w:rsidR="00237282">
        <w:rPr>
          <w:rFonts w:ascii="David" w:hAnsi="David" w:cs="David" w:hint="cs"/>
          <w:sz w:val="24"/>
          <w:szCs w:val="24"/>
          <w:rtl/>
        </w:rPr>
        <w:t>****</w:t>
      </w:r>
      <w:r w:rsidRPr="00D903E2">
        <w:rPr>
          <w:rFonts w:ascii="David" w:hAnsi="David" w:cs="David"/>
          <w:sz w:val="24"/>
          <w:szCs w:val="24"/>
          <w:rtl/>
        </w:rPr>
        <w:t xml:space="preserve"> </w:t>
      </w:r>
      <w:r w:rsidR="00237282">
        <w:rPr>
          <w:rFonts w:ascii="David" w:hAnsi="David" w:cs="David" w:hint="cs"/>
          <w:sz w:val="24"/>
          <w:szCs w:val="24"/>
          <w:rtl/>
        </w:rPr>
        <w:t>***** *****</w:t>
      </w:r>
    </w:p>
    <w:p w:rsidR="00D903E2" w:rsidRPr="00D903E2" w:rsidRDefault="00D903E2" w:rsidP="00237282">
      <w:pPr>
        <w:pStyle w:val="ae"/>
        <w:numPr>
          <w:ilvl w:val="0"/>
          <w:numId w:val="2"/>
        </w:numPr>
        <w:spacing w:line="240" w:lineRule="auto"/>
        <w:jc w:val="both"/>
        <w:rPr>
          <w:rFonts w:ascii="David" w:hAnsi="David" w:cs="David"/>
          <w:sz w:val="24"/>
          <w:szCs w:val="24"/>
          <w:rtl/>
        </w:rPr>
      </w:pPr>
      <w:r w:rsidRPr="00D903E2">
        <w:rPr>
          <w:rFonts w:ascii="David" w:hAnsi="David" w:cs="David"/>
          <w:sz w:val="24"/>
          <w:szCs w:val="24"/>
          <w:rtl/>
        </w:rPr>
        <w:t xml:space="preserve">נכס מקרקעין בישוב </w:t>
      </w:r>
      <w:r w:rsidR="00237282">
        <w:rPr>
          <w:rFonts w:ascii="David" w:hAnsi="David" w:cs="David" w:hint="cs"/>
          <w:sz w:val="24"/>
          <w:szCs w:val="24"/>
          <w:rtl/>
        </w:rPr>
        <w:t>*** ***</w:t>
      </w:r>
      <w:r w:rsidRPr="00D903E2">
        <w:rPr>
          <w:rFonts w:ascii="David" w:hAnsi="David" w:cs="David"/>
          <w:sz w:val="24"/>
          <w:szCs w:val="24"/>
          <w:rtl/>
        </w:rPr>
        <w:t xml:space="preserve">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8B0B7F">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בשנת </w:t>
      </w:r>
      <w:r w:rsidR="00237282">
        <w:rPr>
          <w:rFonts w:ascii="David" w:hAnsi="David" w:cs="David" w:hint="cs"/>
          <w:sz w:val="24"/>
          <w:szCs w:val="24"/>
          <w:rtl/>
        </w:rPr>
        <w:t>****</w:t>
      </w:r>
      <w:r w:rsidRPr="00D903E2">
        <w:rPr>
          <w:rFonts w:ascii="David" w:hAnsi="David" w:cs="David"/>
          <w:sz w:val="24"/>
          <w:szCs w:val="24"/>
          <w:rtl/>
        </w:rPr>
        <w:t xml:space="preserve"> עבר נכס המקרקעים בר' </w:t>
      </w:r>
      <w:r w:rsidR="00237282">
        <w:rPr>
          <w:rFonts w:ascii="David" w:hAnsi="David" w:cs="David" w:hint="cs"/>
          <w:sz w:val="24"/>
          <w:szCs w:val="24"/>
          <w:rtl/>
        </w:rPr>
        <w:t>*******</w:t>
      </w:r>
      <w:r w:rsidRPr="00D903E2">
        <w:rPr>
          <w:rFonts w:ascii="David" w:hAnsi="David" w:cs="David"/>
          <w:sz w:val="24"/>
          <w:szCs w:val="24"/>
          <w:rtl/>
        </w:rPr>
        <w:t xml:space="preserve"> </w:t>
      </w:r>
      <w:r w:rsidR="00237282">
        <w:rPr>
          <w:rFonts w:ascii="David" w:hAnsi="David" w:cs="David" w:hint="cs"/>
          <w:sz w:val="24"/>
          <w:szCs w:val="24"/>
          <w:rtl/>
        </w:rPr>
        <w:t>**</w:t>
      </w:r>
      <w:r w:rsidRPr="00D903E2">
        <w:rPr>
          <w:rFonts w:ascii="David" w:hAnsi="David" w:cs="David"/>
          <w:sz w:val="24"/>
          <w:szCs w:val="24"/>
          <w:rtl/>
        </w:rPr>
        <w:t>, ע"ש ה</w:t>
      </w:r>
      <w:r w:rsidR="008B0B7F">
        <w:rPr>
          <w:rFonts w:ascii="David" w:hAnsi="David" w:cs="David" w:hint="cs"/>
          <w:sz w:val="24"/>
          <w:szCs w:val="24"/>
          <w:rtl/>
        </w:rPr>
        <w:t>אישה</w:t>
      </w:r>
      <w:r w:rsidRPr="00D903E2">
        <w:rPr>
          <w:rFonts w:ascii="David" w:hAnsi="David" w:cs="David"/>
          <w:sz w:val="24"/>
          <w:szCs w:val="24"/>
          <w:rtl/>
        </w:rPr>
        <w:t xml:space="preserve">באופן מלא. </w:t>
      </w:r>
    </w:p>
    <w:p w:rsidR="00D903E2" w:rsidRPr="00D903E2" w:rsidRDefault="00D903E2" w:rsidP="00D903E2">
      <w:pPr>
        <w:pStyle w:val="ae"/>
        <w:spacing w:line="240" w:lineRule="auto"/>
        <w:ind w:left="368"/>
        <w:jc w:val="both"/>
        <w:rPr>
          <w:rFonts w:ascii="David" w:hAnsi="David" w:cs="David"/>
          <w:sz w:val="24"/>
          <w:szCs w:val="24"/>
        </w:rPr>
      </w:pPr>
      <w:r w:rsidRPr="00D903E2">
        <w:rPr>
          <w:rFonts w:ascii="David" w:hAnsi="David" w:cs="David"/>
          <w:sz w:val="24"/>
          <w:szCs w:val="24"/>
          <w:rtl/>
        </w:rPr>
        <w:t xml:space="preserve"> </w:t>
      </w:r>
    </w:p>
    <w:p w:rsidR="00D903E2" w:rsidRPr="00D903E2"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 xml:space="preserve">האלמנה עותרת אפוא להכרה בזכויותיה בהיקף של 50% מזכויות בנכסים הנ"ל מכוח הלכת השיתוף.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עיקר טענות ההגנה כי האלמנה הסתלקה מן העיזבון לפני שנים ולא טענה בשעתו כי היא הבעלים של מחצית מהזכויות במקרקעין ו/או בנכסים שנרשמו ע"ש המנוח. על האלמנה היה לטעון זאת בזמן אמת – כאשר התמונה המלאה הוצגה בפניה - ולא בחלוף למעלה מעשור מאז פטירת המנוח.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כן נטען ע"י המשיבים כי הקרקעות השונות הופקעו עם השנים, כך שאילו ישנה לאלמנה טענות המדובר בטענות באשר לכספי התמורה, ומאחר שחלפו למעלה מ-7 שנים, הזכויות הפכו מאובליגטוריות לכספיות וכתוצאה מכך, הרי שהן התיישנו, זה מכבר.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מכל מקום, האלמנה ידעה מהו היקף זכויותיה ומה הדין בנוגע לרכוש בני"ז שנצבר במהלך חיי הנישואין אולם מאחר שמדובר במשפחה חרדית, היא ויתרה על זכויותיה לטובת בניה, עפ"י דין תורה. </w:t>
      </w:r>
    </w:p>
    <w:p w:rsidR="00D903E2" w:rsidRPr="00D903E2" w:rsidRDefault="00D903E2" w:rsidP="0023728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lastRenderedPageBreak/>
        <w:t xml:space="preserve">לא בכדי, ומאחר שעפ"י דין תורה מחויבים הבנים לדאוג לאלמנת המנוח למדור, הם ויתרו על זכויותיהם בדירה בה התגוררו בניה"ז ברח' </w:t>
      </w:r>
      <w:r w:rsidR="00237282">
        <w:rPr>
          <w:rFonts w:ascii="David" w:hAnsi="David" w:cs="David" w:hint="cs"/>
          <w:sz w:val="24"/>
          <w:szCs w:val="24"/>
          <w:rtl/>
        </w:rPr>
        <w:t>********</w:t>
      </w:r>
      <w:r w:rsidRPr="00D903E2">
        <w:rPr>
          <w:rFonts w:ascii="David" w:hAnsi="David" w:cs="David"/>
          <w:sz w:val="24"/>
          <w:szCs w:val="24"/>
          <w:rtl/>
        </w:rPr>
        <w:t xml:space="preserve"> </w:t>
      </w:r>
      <w:r w:rsidR="00237282">
        <w:rPr>
          <w:rFonts w:ascii="David" w:hAnsi="David" w:cs="David" w:hint="cs"/>
          <w:sz w:val="24"/>
          <w:szCs w:val="24"/>
          <w:rtl/>
        </w:rPr>
        <w:t>**</w:t>
      </w:r>
      <w:r w:rsidRPr="00D903E2">
        <w:rPr>
          <w:rFonts w:ascii="David" w:hAnsi="David" w:cs="David"/>
          <w:sz w:val="24"/>
          <w:szCs w:val="24"/>
          <w:rtl/>
        </w:rPr>
        <w:t xml:space="preserve">, עוד בשנת </w:t>
      </w:r>
      <w:r w:rsidR="00237282">
        <w:rPr>
          <w:rFonts w:ascii="David" w:hAnsi="David" w:cs="David" w:hint="cs"/>
          <w:sz w:val="24"/>
          <w:szCs w:val="24"/>
          <w:rtl/>
        </w:rPr>
        <w:t>****</w:t>
      </w:r>
      <w:r w:rsidRPr="00D903E2">
        <w:rPr>
          <w:rFonts w:ascii="David" w:hAnsi="David" w:cs="David"/>
          <w:sz w:val="24"/>
          <w:szCs w:val="24"/>
          <w:rtl/>
        </w:rPr>
        <w:t xml:space="preserve">, שאז חתמו על מסמכים, והדירה עברה על-שמה באופן בלעדי (הגם שהיא פעלה לשם כך, מבחירה שלה, רק בשנת </w:t>
      </w:r>
      <w:r w:rsidR="00237282">
        <w:rPr>
          <w:rFonts w:ascii="David" w:hAnsi="David" w:cs="David" w:hint="cs"/>
          <w:sz w:val="24"/>
          <w:szCs w:val="24"/>
          <w:rtl/>
        </w:rPr>
        <w:t>****</w:t>
      </w:r>
      <w:r w:rsidRPr="00D903E2">
        <w:rPr>
          <w:rFonts w:ascii="David" w:hAnsi="David" w:cs="David"/>
          <w:sz w:val="24"/>
          <w:szCs w:val="24"/>
          <w:rtl/>
        </w:rPr>
        <w:t xml:space="preserve">).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23728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המשיבים הוסיפו כי הדירה ברח' </w:t>
      </w:r>
      <w:r w:rsidR="00237282">
        <w:rPr>
          <w:rFonts w:ascii="David" w:hAnsi="David" w:cs="David" w:hint="cs"/>
          <w:sz w:val="24"/>
          <w:szCs w:val="24"/>
          <w:rtl/>
        </w:rPr>
        <w:t>*******</w:t>
      </w:r>
      <w:r w:rsidRPr="00D903E2">
        <w:rPr>
          <w:rFonts w:ascii="David" w:hAnsi="David" w:cs="David"/>
          <w:sz w:val="24"/>
          <w:szCs w:val="24"/>
          <w:rtl/>
        </w:rPr>
        <w:t xml:space="preserve"> נרשמה ע"ש בניה"ז בעוד יתר הנכסים נרשמו ע"ש המנוח בלבד, ולאחר פטירתו חתמו המבקשות על תצהיר הסתלקות לטובת הבנים, כנהוג עפ"י דין תורה. אותה העת ציינה האלמנה באופן מפורש כי היא מסתלקת מן העיזבון בשלמותו.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ביום 9.12.12 ניתן צו ירושה בהתאם להסתלקות, על-פיו המשיבים הינם יורשיו של המנוח.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23728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המשיבים דאגו לבנות המשפחה והסכימו להעניק להן 40% מתמורת הנכס שביישוב </w:t>
      </w:r>
      <w:r w:rsidR="00237282">
        <w:rPr>
          <w:rFonts w:ascii="David" w:hAnsi="David" w:cs="David" w:hint="cs"/>
          <w:sz w:val="24"/>
          <w:szCs w:val="24"/>
          <w:rtl/>
        </w:rPr>
        <w:t>*** ***</w:t>
      </w:r>
      <w:r w:rsidRPr="00D903E2">
        <w:rPr>
          <w:rFonts w:ascii="David" w:hAnsi="David" w:cs="David"/>
          <w:sz w:val="24"/>
          <w:szCs w:val="24"/>
          <w:rtl/>
        </w:rPr>
        <w:t xml:space="preserve">.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במשך עשור לא נשמעה אף טענה ביחס להלכת השיתוף והאלמנה לא ביקשה להחיל ההלכה בעניין לכן טענתה לעניין זה כבושה, לא נטענה כל טענה ביחס להיקף העיזבון, הסכומים שקיבלו המבקשות וכיו"ב.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23728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המשיבים התייחסו לנכסי מקרקעין מסוימים באופן ספציפי, וטענו לגבי המקרקעין </w:t>
      </w:r>
      <w:r w:rsidR="00237282">
        <w:rPr>
          <w:rFonts w:ascii="David" w:hAnsi="David" w:cs="David" w:hint="cs"/>
          <w:sz w:val="24"/>
          <w:szCs w:val="24"/>
          <w:rtl/>
        </w:rPr>
        <w:t>שב**** ***</w:t>
      </w:r>
      <w:r w:rsidRPr="00D903E2">
        <w:rPr>
          <w:rFonts w:ascii="David" w:hAnsi="David" w:cs="David"/>
          <w:sz w:val="24"/>
          <w:szCs w:val="24"/>
          <w:rtl/>
        </w:rPr>
        <w:t xml:space="preserve"> כי הם נמכ</w:t>
      </w:r>
      <w:r w:rsidR="00237282">
        <w:rPr>
          <w:rFonts w:ascii="David" w:hAnsi="David" w:cs="David"/>
          <w:sz w:val="24"/>
          <w:szCs w:val="24"/>
          <w:rtl/>
        </w:rPr>
        <w:t xml:space="preserve">רו כבר בשנת 2012 לרב </w:t>
      </w:r>
      <w:r w:rsidR="00237282">
        <w:rPr>
          <w:rFonts w:ascii="David" w:hAnsi="David" w:cs="David" w:hint="cs"/>
          <w:sz w:val="24"/>
          <w:szCs w:val="24"/>
          <w:rtl/>
        </w:rPr>
        <w:t>**** *****</w:t>
      </w:r>
      <w:r w:rsidRPr="00D903E2">
        <w:rPr>
          <w:rFonts w:ascii="David" w:hAnsi="David" w:cs="David"/>
          <w:sz w:val="24"/>
          <w:szCs w:val="24"/>
          <w:rtl/>
        </w:rPr>
        <w:t xml:space="preserve"> (להלן הרב </w:t>
      </w:r>
      <w:r w:rsidR="00237282">
        <w:rPr>
          <w:rFonts w:ascii="David" w:hAnsi="David" w:cs="David" w:hint="cs"/>
          <w:sz w:val="24"/>
          <w:szCs w:val="24"/>
          <w:rtl/>
        </w:rPr>
        <w:t>*****</w:t>
      </w:r>
      <w:r w:rsidRPr="00D903E2">
        <w:rPr>
          <w:rFonts w:ascii="David" w:hAnsi="David" w:cs="David"/>
          <w:sz w:val="24"/>
          <w:szCs w:val="24"/>
          <w:rtl/>
        </w:rPr>
        <w:t xml:space="preserve">), האלמנה היתה מודעת לכך בזמן אמת ולא התנגדה למהלך, כך ניתן לראות בסע' 32 לבקשתה להטלת הצו הזמני. משכך אילו לאלמנה זכויות מכוח הלכת השיתוף, הרי שהיא זכאית למחצית התמורה הכספית ואולם, מאחר שהכספים נתקבלו לפני כ-עשור, הרי שחלה התיישנות לגביהם, והאלמנה אינה זכאית לקבל מחצית התמורה.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23728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לגבי המקרקעין ביישוב </w:t>
      </w:r>
      <w:r w:rsidR="00237282">
        <w:rPr>
          <w:rFonts w:ascii="David" w:hAnsi="David" w:cs="David" w:hint="cs"/>
          <w:sz w:val="24"/>
          <w:szCs w:val="24"/>
          <w:rtl/>
        </w:rPr>
        <w:t xml:space="preserve">*** *** </w:t>
      </w:r>
      <w:r w:rsidRPr="00D903E2">
        <w:rPr>
          <w:rFonts w:ascii="David" w:hAnsi="David" w:cs="David"/>
          <w:sz w:val="24"/>
          <w:szCs w:val="24"/>
          <w:rtl/>
        </w:rPr>
        <w:t xml:space="preserve">טענו המשיבים כי בהסכם בעניין ההסתלקות נקבע כי בנות המשפחה יקבלו ביחד 40% מתמורת המכר. הנכס הופקע עוד במהלך חייו של המנוח. אילו היתה עומדת לאלמנה זכות מכוח הלכת השיתוף, שוב מדובר בזכות בנוגע לכספים בלבד, ובחלוף השנים הרי שהיא התיישנה.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כן טענו המשיבים לשיהוי, השתק, החלת דין תורה בהסכמה, ידיעת האלמנה והמבקשות אודות היקף העיזבון, ההזדמנות לטעון לעניין הלכת השיתוף בזמן אמת אל מול השתיקה והוויתור לאורך השנים.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המשיבים טענו כי הסתמכו על ויתור האלמנה על חלקה והסכם ההסתלקות וכן טענו כי מאחר שהמשפחה מתנהלת עפ"י אורחות החיים של דין תורה, היה ברור למשיבים כי אמם מוותרת על חלקה שעפ"י הלכת השיתוף – לטובתם (ר' סע' 67 לכתב הגנתם בהליך הנ"ל).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בהתאם טענו המשיבים כי נטל ההוכחה המוטל על המבקשת בתביעתה – גבוה עד מאוד. </w:t>
      </w:r>
    </w:p>
    <w:p w:rsidR="00D903E2" w:rsidRDefault="00D903E2" w:rsidP="00D903E2">
      <w:pPr>
        <w:rPr>
          <w:rFonts w:ascii="David" w:hAnsi="David"/>
          <w:b/>
          <w:bCs/>
          <w:u w:val="single"/>
          <w:rtl/>
        </w:rPr>
      </w:pPr>
      <w:r w:rsidRPr="00D903E2">
        <w:rPr>
          <w:rFonts w:ascii="David" w:hAnsi="David"/>
          <w:b/>
          <w:bCs/>
          <w:u w:val="single"/>
          <w:rtl/>
        </w:rPr>
        <w:t xml:space="preserve">ת"ע 57027-08-21 </w:t>
      </w:r>
    </w:p>
    <w:p w:rsidR="008B0B7F" w:rsidRPr="00D903E2" w:rsidRDefault="008B0B7F" w:rsidP="00D903E2">
      <w:pPr>
        <w:rPr>
          <w:rFonts w:ascii="David" w:hAnsi="David"/>
          <w:b/>
          <w:bCs/>
          <w:u w:val="single"/>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ביום 25.8.21, כ- 9 שנים לאחר שניתן צו ירושה, עפ"י הצהרת הסתלקות מעיזבון, הוגשה תביעת המבקשות לביטול הסתלקותן מעיזבון המנוח. </w:t>
      </w:r>
    </w:p>
    <w:p w:rsidR="00D903E2" w:rsidRPr="00D903E2" w:rsidRDefault="00D903E2" w:rsidP="00D903E2">
      <w:pPr>
        <w:pStyle w:val="ae"/>
        <w:spacing w:line="240" w:lineRule="auto"/>
        <w:ind w:left="368"/>
        <w:jc w:val="both"/>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 xml:space="preserve">טענות הצדדים </w:t>
      </w:r>
      <w:r w:rsidR="008B0B7F">
        <w:rPr>
          <w:rFonts w:ascii="David" w:hAnsi="David" w:cs="David"/>
          <w:sz w:val="24"/>
          <w:szCs w:val="24"/>
          <w:rtl/>
        </w:rPr>
        <w:t>בהליך ת"ע 57027-08-21 היו בעיקר</w:t>
      </w:r>
      <w:r w:rsidRPr="00D903E2">
        <w:rPr>
          <w:rFonts w:ascii="David" w:hAnsi="David" w:cs="David"/>
          <w:sz w:val="24"/>
          <w:szCs w:val="24"/>
          <w:rtl/>
        </w:rPr>
        <w:t xml:space="preserve">ן דומות אולם עם התייחסות קונקרטית להליך.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עסקינן בעניין שמהותו הסתלקות מעיזבון עפ"י דין תורה, כאשר בנות המשפחה, שהינן אלמנת המנוח, ובנותיו, ויתרו על חלקן בעיזבון המנוח לטובת בני המשפחה – קרי 3 הבנים, הילדים המשותפים למנוח ולאלמנה. </w:t>
      </w:r>
    </w:p>
    <w:p w:rsidR="00D903E2" w:rsidRPr="00D903E2" w:rsidRDefault="00D903E2" w:rsidP="00D903E2">
      <w:pPr>
        <w:pStyle w:val="ae"/>
        <w:spacing w:line="240" w:lineRule="auto"/>
        <w:ind w:left="368"/>
        <w:jc w:val="both"/>
        <w:rPr>
          <w:rFonts w:ascii="David" w:hAnsi="David" w:cs="David"/>
          <w:sz w:val="24"/>
          <w:szCs w:val="24"/>
          <w:rtl/>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מהות התובענה בהליך זה הינה ביטול מהסתלקות של המבקשות מעיזבון המנוח לטובת המשיבים, תיקון צו הירושה ומתן צו עשה להשבת נכסי המנוח לעיזבון.</w:t>
      </w: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lastRenderedPageBreak/>
        <w:t xml:space="preserve">המדובר על הליך שמהותו ביטול תצהירי הסתלקות מעיזבון מחמת חוסר תום לב מצידם של המשיבים, הטעיה, הפעלת לחץ, הבטחות שווא באשר לתמורה שכנגד ההסתלקות, נישול מירושה באמצעות החתמת המבקשות על תצהיר הסתלקות בעורמה ובתרמית, הסתרת מידע באשר להיקף העיזבון, כן המבקשות הפנו להוראות חוק החוזים (חלק כללי) תשל"ג-1973.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המבקשות טענו כי חתמו על תצהיר הסתלקות מעיזבון הכולל רכוש רב היקף השווה מיליוני שקלים, בעוד בפועל בשעתו הוצג להן מידע שונה.  </w:t>
      </w:r>
    </w:p>
    <w:p w:rsidR="00D903E2" w:rsidRPr="00D903E2" w:rsidRDefault="00D903E2" w:rsidP="00D903E2">
      <w:pPr>
        <w:pStyle w:val="ae"/>
        <w:spacing w:line="240" w:lineRule="auto"/>
        <w:rPr>
          <w:rFonts w:ascii="David" w:hAnsi="David" w:cs="David"/>
          <w:sz w:val="24"/>
          <w:szCs w:val="24"/>
        </w:rPr>
      </w:pPr>
    </w:p>
    <w:p w:rsidR="00D903E2" w:rsidRDefault="00D903E2" w:rsidP="0023728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 xml:space="preserve">המבקשות טענו כי רק בשלב מאוחר יותר, ובחודשים הסמוכים להגשת התובענה גילו לתדהמתן את היקף הסרת המידע ע"י המשיבים, ואת מעשי המרמה וההונאה, וזאת באופן מקרי ומאחר שהמשיבים תבעו בהליך אזרחי את הרב </w:t>
      </w:r>
      <w:r w:rsidR="00237282">
        <w:rPr>
          <w:rFonts w:ascii="David" w:hAnsi="David" w:cs="David" w:hint="cs"/>
          <w:sz w:val="24"/>
          <w:szCs w:val="24"/>
          <w:rtl/>
        </w:rPr>
        <w:t>*****</w:t>
      </w:r>
      <w:r w:rsidRPr="00D903E2">
        <w:rPr>
          <w:rFonts w:ascii="David" w:hAnsi="David" w:cs="David"/>
          <w:sz w:val="24"/>
          <w:szCs w:val="24"/>
          <w:rtl/>
        </w:rPr>
        <w:t xml:space="preserve">, לו נמכרו זכויות באי אילו מהמקרקעין המהווים חלק מעיזבון המנוח. המבקשות טענו כי במהלך המו"מ לגבי הסכם ההסתלקות נאמר להן ע"י המשיבים והרב </w:t>
      </w:r>
      <w:r w:rsidR="00237282">
        <w:rPr>
          <w:rFonts w:ascii="David" w:hAnsi="David" w:cs="David" w:hint="cs"/>
          <w:sz w:val="24"/>
          <w:szCs w:val="24"/>
          <w:rtl/>
        </w:rPr>
        <w:t>*****</w:t>
      </w:r>
      <w:r w:rsidRPr="00D903E2">
        <w:rPr>
          <w:rFonts w:ascii="David" w:hAnsi="David" w:cs="David"/>
          <w:sz w:val="24"/>
          <w:szCs w:val="24"/>
          <w:rtl/>
        </w:rPr>
        <w:t xml:space="preserve"> כי המקרקעין </w:t>
      </w:r>
      <w:r w:rsidR="00237282">
        <w:rPr>
          <w:rFonts w:ascii="David" w:hAnsi="David" w:cs="David" w:hint="cs"/>
          <w:sz w:val="24"/>
          <w:szCs w:val="24"/>
          <w:rtl/>
        </w:rPr>
        <w:t>שב**** ***</w:t>
      </w:r>
      <w:r w:rsidRPr="00D903E2">
        <w:rPr>
          <w:rFonts w:ascii="David" w:hAnsi="David" w:cs="David"/>
          <w:sz w:val="24"/>
          <w:szCs w:val="24"/>
          <w:rtl/>
        </w:rPr>
        <w:t xml:space="preserve"> נמכרו לרב ע"י המנוח, בעודו בחיים, כי היקף המקרקעין 6.5 דונם וכי התמורה בעדם היתה נמוכה. בכתב התביעה טענו המבקשות כי לימים התברר גודל התרמית וכי ישנם 100 דונם מקר</w:t>
      </w:r>
      <w:r w:rsidR="00237282">
        <w:rPr>
          <w:rFonts w:ascii="David" w:hAnsi="David" w:cs="David"/>
          <w:sz w:val="24"/>
          <w:szCs w:val="24"/>
          <w:rtl/>
        </w:rPr>
        <w:t>קעין ב</w:t>
      </w:r>
      <w:r w:rsidR="00237282">
        <w:rPr>
          <w:rFonts w:ascii="David" w:hAnsi="David" w:cs="David" w:hint="cs"/>
          <w:sz w:val="24"/>
          <w:szCs w:val="24"/>
          <w:rtl/>
        </w:rPr>
        <w:t>**** ***</w:t>
      </w:r>
      <w:r w:rsidRPr="00D903E2">
        <w:rPr>
          <w:rFonts w:ascii="David" w:hAnsi="David" w:cs="David"/>
          <w:sz w:val="24"/>
          <w:szCs w:val="24"/>
          <w:rtl/>
        </w:rPr>
        <w:t xml:space="preserve">, שנמכרו ע"י המשיבים לאחר פטירת המנוח, תוך הסתרת מידע זה מהמבקשות.   </w:t>
      </w:r>
    </w:p>
    <w:p w:rsidR="008B0B7F" w:rsidRPr="00D903E2" w:rsidRDefault="008B0B7F" w:rsidP="008B0B7F">
      <w:pPr>
        <w:pStyle w:val="ae"/>
        <w:spacing w:line="240" w:lineRule="auto"/>
        <w:ind w:left="368"/>
        <w:jc w:val="both"/>
        <w:rPr>
          <w:rFonts w:ascii="David" w:hAnsi="David" w:cs="David"/>
          <w:sz w:val="24"/>
          <w:szCs w:val="24"/>
          <w:rtl/>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 xml:space="preserve">המשיבים טענו לשיהוי מצידן של המבקשות וכי למעשה נודע להן בדבר היקף העיזבון זה מכבר. למעשה נטען כי בין הצדדים נוהל מו"מ במשך זמן רב בשל היקפו של העיזבון ואח"כ ידעו המשיבות באופן מדויק פרטים נוספים לכל הפחות בשנת 2019 ואח"כ ב-03/21  אולם הן פנו לביהמ"ש רק בחודש 08/21 ונקטו שיהוי ניכר.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על המבקשות סעד זמני לתמוך בקשתן בראיות, והן לא עשו זאת.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בין הצדדים הסכם הסתלקות, עליו אמנם האלמנה אינה חתומה, אלא שעל תצהיר ההסתלקות חתומות המבקשות כולן.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23728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כן טענו המשיבים כי הנכס יישוב </w:t>
      </w:r>
      <w:r w:rsidR="00237282">
        <w:rPr>
          <w:rFonts w:ascii="David" w:hAnsi="David" w:cs="David" w:hint="cs"/>
          <w:sz w:val="24"/>
          <w:szCs w:val="24"/>
          <w:rtl/>
        </w:rPr>
        <w:t>*******</w:t>
      </w:r>
      <w:r w:rsidRPr="00D903E2">
        <w:rPr>
          <w:rFonts w:ascii="David" w:hAnsi="David" w:cs="David"/>
          <w:sz w:val="24"/>
          <w:szCs w:val="24"/>
          <w:rtl/>
        </w:rPr>
        <w:t xml:space="preserve"> נמכר בידיעתן ועל דעתן של ה</w:t>
      </w:r>
      <w:r w:rsidR="00237282">
        <w:rPr>
          <w:rFonts w:ascii="David" w:hAnsi="David" w:cs="David"/>
          <w:sz w:val="24"/>
          <w:szCs w:val="24"/>
          <w:rtl/>
        </w:rPr>
        <w:t xml:space="preserve">מבקשות וכי באשר לנכס ביישוב </w:t>
      </w:r>
      <w:r w:rsidR="00237282">
        <w:rPr>
          <w:rFonts w:ascii="David" w:hAnsi="David" w:cs="David" w:hint="cs"/>
          <w:sz w:val="24"/>
          <w:szCs w:val="24"/>
          <w:rtl/>
        </w:rPr>
        <w:t>****</w:t>
      </w:r>
      <w:r w:rsidRPr="00D903E2">
        <w:rPr>
          <w:rFonts w:ascii="David" w:hAnsi="David" w:cs="David"/>
          <w:sz w:val="24"/>
          <w:szCs w:val="24"/>
          <w:rtl/>
        </w:rPr>
        <w:t xml:space="preserve"> אין</w:t>
      </w:r>
      <w:r w:rsidR="00237282">
        <w:rPr>
          <w:rFonts w:ascii="David" w:hAnsi="David" w:cs="David"/>
          <w:sz w:val="24"/>
          <w:szCs w:val="24"/>
          <w:rtl/>
        </w:rPr>
        <w:t xml:space="preserve"> למשיבים בעלות וכי על הנכס ב</w:t>
      </w:r>
      <w:r w:rsidR="00237282">
        <w:rPr>
          <w:rFonts w:ascii="David" w:hAnsi="David" w:cs="David" w:hint="cs"/>
          <w:sz w:val="24"/>
          <w:szCs w:val="24"/>
          <w:rtl/>
        </w:rPr>
        <w:t>****</w:t>
      </w:r>
      <w:r w:rsidRPr="00D903E2">
        <w:rPr>
          <w:rFonts w:ascii="David" w:hAnsi="David" w:cs="David"/>
          <w:sz w:val="24"/>
          <w:szCs w:val="24"/>
          <w:rtl/>
        </w:rPr>
        <w:t xml:space="preserve"> אף הם לא יגעו אלא בשנת 2015 כאשר קיבלה האלמנה מסמכים בעניין. משכך ניתן להטיל עיקול רק בעניין כספים ולא בעניין נכסי מקרקעין.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spacing w:line="240" w:lineRule="auto"/>
        <w:ind w:left="368"/>
        <w:jc w:val="both"/>
        <w:rPr>
          <w:rFonts w:ascii="David" w:hAnsi="David" w:cs="David"/>
          <w:b/>
          <w:bCs/>
          <w:sz w:val="24"/>
          <w:szCs w:val="24"/>
          <w:u w:val="single"/>
          <w:rtl/>
        </w:rPr>
      </w:pPr>
      <w:r w:rsidRPr="00D903E2">
        <w:rPr>
          <w:rFonts w:ascii="David" w:hAnsi="David" w:cs="David"/>
          <w:b/>
          <w:bCs/>
          <w:sz w:val="24"/>
          <w:szCs w:val="24"/>
          <w:u w:val="single"/>
          <w:rtl/>
        </w:rPr>
        <w:t xml:space="preserve">דיון והכרעה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ראשית כל יש לחלק את הדיון לשניים, האחד בנוגע לתביעת האלמנה לפסק דין הצהרתי (וקבלת מידע) והשני – חזרת המבקשות מתצהיר הסתלקותן מעיזבון. </w:t>
      </w:r>
    </w:p>
    <w:p w:rsidR="00D903E2" w:rsidRPr="00D903E2" w:rsidRDefault="00D903E2" w:rsidP="00D903E2">
      <w:pPr>
        <w:pStyle w:val="ae"/>
        <w:spacing w:line="240" w:lineRule="auto"/>
        <w:ind w:left="368"/>
        <w:jc w:val="both"/>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כידוע - צו איסור דיספוזיציה הינו צו אישי אשר אוסר על האדם כלפיו מופנה הצו לבצע פעולות שיש בהן כדי לשנות מצב קיים והמטרה היא לשמרו.</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צו מניעה זמני בכלל וצו איסור דיספוזיציה בפרט, נועדו לשמור על המצב הקיים במועד בו מוענק הצו. הרצון הוא לשמור על מערכת נסיבות קיימת מבלי שמי מהצדדים יפעל לשינויה טרם בירור מצב הזכויות לאשורו במסגרת הליך משפטי תלוי ועומד.</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באשר לתובענת האלמנה אין חולקת כי שורת הדין קובעת כי בעניין בני"ז שנישאו לפני חיקוקו של חוק יחסי ממון, התשל"ג-1976 חלה הלכת השיתוף, כפי שצוין ברישא  להחלטה זו. </w:t>
      </w:r>
    </w:p>
    <w:p w:rsidR="00D903E2" w:rsidRPr="00D903E2" w:rsidRDefault="00D903E2" w:rsidP="00D903E2">
      <w:pPr>
        <w:pStyle w:val="ae"/>
        <w:spacing w:line="240" w:lineRule="auto"/>
        <w:ind w:left="368"/>
        <w:jc w:val="both"/>
        <w:rPr>
          <w:rFonts w:ascii="David" w:hAnsi="David" w:cs="David"/>
          <w:sz w:val="24"/>
          <w:szCs w:val="24"/>
        </w:rPr>
      </w:pPr>
      <w:r w:rsidRPr="00D903E2">
        <w:rPr>
          <w:rFonts w:ascii="David" w:hAnsi="David" w:cs="David"/>
          <w:sz w:val="24"/>
          <w:szCs w:val="24"/>
          <w:rtl/>
        </w:rPr>
        <w:t xml:space="preserve"> </w:t>
      </w:r>
    </w:p>
    <w:p w:rsidR="00D903E2" w:rsidRPr="00D903E2"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 xml:space="preserve">על-פניו, האלמנה הינה בעלים של מחצית מהרכוש שנצבר לה ולמנוח במהלך חיי הנישואין.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בין הצדדים אין הסכם מתנה או הסכם אחר לפיו האלמנה מעבירה למשיבים את זכויותיה ברכוש המשותף לה ולמנוח. בין האלמנה למשיבים תצהיר הסתלקות מעיזבון לטובת האחרונים, אשר בעקבותיו ובהתאם לו ניתן צו ירושה. המדובר על 50% השייכים למנוח ברכוש המשותף לו ולאלמנה. </w:t>
      </w:r>
    </w:p>
    <w:p w:rsidR="008B0B7F"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lastRenderedPageBreak/>
        <w:t>בנסיבות הללו, עפ"י דין, זכאית האלמנה ל-50% בנכסים שאינם רשומים על-שמה ושבעלה המנוח צבר כשהיו נשואים.</w:t>
      </w:r>
    </w:p>
    <w:p w:rsidR="00D903E2" w:rsidRPr="00D903E2" w:rsidRDefault="00D903E2" w:rsidP="008B0B7F">
      <w:pPr>
        <w:pStyle w:val="ae"/>
        <w:spacing w:line="240" w:lineRule="auto"/>
        <w:ind w:left="368"/>
        <w:jc w:val="both"/>
        <w:rPr>
          <w:rFonts w:ascii="David" w:hAnsi="David" w:cs="David"/>
          <w:sz w:val="24"/>
          <w:szCs w:val="24"/>
          <w:rtl/>
        </w:rPr>
      </w:pPr>
      <w:r w:rsidRPr="00D903E2">
        <w:rPr>
          <w:rFonts w:ascii="David" w:hAnsi="David" w:cs="David"/>
          <w:sz w:val="24"/>
          <w:szCs w:val="24"/>
          <w:rtl/>
        </w:rPr>
        <w:t xml:space="preserve"> </w:t>
      </w:r>
    </w:p>
    <w:p w:rsidR="00D903E2" w:rsidRPr="00D903E2"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 xml:space="preserve">דא עקא. כי בפועל מזה עשור, שהמבקשת לא עשתה כל פעולה להבטיח את זכויותיה בנכסים הללו ולמשיבים טענות לפיהן היא אינה זכאית להן, וכפועל יוצא מכך, הם מהווים חלק מעיזבון המנוח עליהן היא ויתרה באופן מפורש ועפ"י חוק, ואינם שייכים לה עפ"י הלכת השיתוף.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סבורתני כי לעניין זה יש</w:t>
      </w:r>
      <w:r w:rsidR="008B0B7F">
        <w:rPr>
          <w:rFonts w:ascii="David" w:hAnsi="David" w:cs="David"/>
          <w:sz w:val="24"/>
          <w:szCs w:val="24"/>
          <w:rtl/>
        </w:rPr>
        <w:t xml:space="preserve"> להידרש במסגרת ניהולו של ההליך </w:t>
      </w:r>
      <w:r w:rsidR="008B0B7F">
        <w:rPr>
          <w:rFonts w:ascii="David" w:hAnsi="David" w:cs="David" w:hint="cs"/>
          <w:sz w:val="24"/>
          <w:szCs w:val="24"/>
          <w:rtl/>
        </w:rPr>
        <w:t>ה</w:t>
      </w:r>
      <w:r w:rsidRPr="00D903E2">
        <w:rPr>
          <w:rFonts w:ascii="David" w:hAnsi="David" w:cs="David"/>
          <w:sz w:val="24"/>
          <w:szCs w:val="24"/>
          <w:rtl/>
        </w:rPr>
        <w:t xml:space="preserve">עיקרי ובשלב זה מוקדם מידי, ואין די ראיות למי מהצדדים לבסס טענותיו באופן בו תתקבל או תידחה התביעה.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די לי בכך כי אכן מדובר ברכוש שנצבר במהלך חיי הנישואין, והמשיבים לא טענו אחרת, כדי לקבוע כי ישנן ראיות לכאורה לטובת המבקשת בעניין זה. אציין שוב, כי לא נעלמו מעיני טענות השיהוי וההתיישנות להן טענו המשיבים, כאשר כתוצאה מוויתור על הזכויות מעצם אי נקיטת כל פעולה פרומאלית להבטחתן, המשיבים שהינם צד שלישי בעניין, הסתמכו בוויתור המבקשת על עיזבון בעלה לטובתם, באשר לזכויותיה מכוח הלכת השיתוף. עם זאת, כאמור מוקדם מידי לטעמי, בעת הזו, לדחות את עמדת המבקשת אך מסיבה זו.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לכך יש להוסיף, כי טענת המשיבים לשיהוי ו/או התיישנות עומדת להם במסגרת כתב הגנתם כאשר ביהמ"ש טרם נדרש לשאלה באופן נפרד במסגרת בקשה למשל, לסילוק התובענה על הסף מעילה זו (המשיבים הגישו בקשת סילוק מטעמים אחרים ולא העלו את טענת השיהוי / ההתיישנות בשעתו).  </w:t>
      </w:r>
    </w:p>
    <w:p w:rsidR="00D903E2" w:rsidRPr="00D903E2" w:rsidRDefault="00D903E2" w:rsidP="00D903E2">
      <w:pPr>
        <w:pStyle w:val="ae"/>
        <w:spacing w:line="240" w:lineRule="auto"/>
        <w:rPr>
          <w:rFonts w:ascii="David" w:eastAsia="Times New Roman" w:hAnsi="David" w:cs="David"/>
          <w:noProof/>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eastAsia="Times New Roman" w:hAnsi="David" w:cs="David"/>
          <w:noProof/>
          <w:sz w:val="24"/>
          <w:szCs w:val="24"/>
          <w:rtl/>
        </w:rPr>
        <w:t xml:space="preserve">באשר לתמ"ש 56707-11-21, לאחר שבחנתי את הבקשה אל מול ההוראות שבתקנה  95 לתקנות סדר הדין האזרחי התשע"ט 2018, הגעתי למסקנות הבאות:  </w:t>
      </w:r>
    </w:p>
    <w:p w:rsidR="00D903E2" w:rsidRPr="00D903E2" w:rsidRDefault="00D903E2" w:rsidP="00D903E2">
      <w:pPr>
        <w:ind w:left="1134" w:hanging="414"/>
        <w:jc w:val="both"/>
        <w:rPr>
          <w:rFonts w:ascii="David" w:hAnsi="David"/>
          <w:rtl/>
        </w:rPr>
      </w:pPr>
      <w:r w:rsidRPr="00D903E2">
        <w:rPr>
          <w:rFonts w:ascii="David" w:hAnsi="David"/>
          <w:rtl/>
        </w:rPr>
        <w:t>א.</w:t>
      </w:r>
      <w:r w:rsidRPr="00D903E2">
        <w:rPr>
          <w:rFonts w:ascii="David" w:hAnsi="David"/>
          <w:rtl/>
        </w:rPr>
        <w:tab/>
        <w:t xml:space="preserve">קיימות ראיות מספקות לכאורה בקיומה של עילת התובענה, על פי תקנה  95 (ב), כפי שהוסבר לעיל. </w:t>
      </w:r>
    </w:p>
    <w:p w:rsidR="00D903E2" w:rsidRPr="00D903E2" w:rsidRDefault="00D903E2" w:rsidP="00D903E2">
      <w:pPr>
        <w:ind w:left="1134" w:hanging="414"/>
        <w:jc w:val="both"/>
        <w:rPr>
          <w:rFonts w:ascii="David" w:hAnsi="David"/>
          <w:rtl/>
        </w:rPr>
      </w:pPr>
      <w:r w:rsidRPr="00D903E2">
        <w:rPr>
          <w:rFonts w:ascii="David" w:hAnsi="David"/>
          <w:rtl/>
        </w:rPr>
        <w:t xml:space="preserve"> </w:t>
      </w:r>
    </w:p>
    <w:p w:rsidR="00D903E2" w:rsidRPr="00D903E2" w:rsidRDefault="00D903E2" w:rsidP="00D903E2">
      <w:pPr>
        <w:ind w:left="1134" w:hanging="414"/>
        <w:jc w:val="both"/>
        <w:rPr>
          <w:rFonts w:ascii="David" w:hAnsi="David"/>
          <w:rtl/>
        </w:rPr>
      </w:pPr>
      <w:r w:rsidRPr="00D903E2">
        <w:rPr>
          <w:rFonts w:ascii="David" w:hAnsi="David"/>
          <w:rtl/>
        </w:rPr>
        <w:t>ב.</w:t>
      </w:r>
      <w:r w:rsidRPr="00D903E2">
        <w:rPr>
          <w:rFonts w:ascii="David" w:hAnsi="David"/>
          <w:rtl/>
        </w:rPr>
        <w:tab/>
        <w:t xml:space="preserve">הנזק שייגרם למבקשת אם לא יינתן הסעד הזמני עולה על הנזק שייגרם למשיבים אם יינתן הסעד הזמני – לעניין זה, הדברים מורכבים יותר. ראשית כל, מדובר בנכסי מקרקעין אשר בעניינם בוצעה דיספוזיציה זה מכבר, ועוד בסמוך לפטירת המנוח ו/או מתן צו הירושה. מצבם של נכסי המקרקעין בשלב זה של ההליך אינו ברור דיו ואינו דומה למצבם נכון למועד מתן צו הירושה, חלקם נמכרו, חלקם הופקעו וכפי הנראה חלקם נותרו במצב דומה לזה שהיו בעת מתן צו הירושה. בעת הזו לא ברור אפוא מה היקף הנכסים, מה נמכר ומה מוחזק ברשות המשיבים, מה שיעור הכספים שקיבלו בגין המכירה וכד'.  </w:t>
      </w:r>
    </w:p>
    <w:p w:rsidR="00D903E2" w:rsidRPr="00D903E2" w:rsidRDefault="00D903E2" w:rsidP="00D903E2">
      <w:pPr>
        <w:ind w:left="1134" w:hanging="414"/>
        <w:jc w:val="both"/>
        <w:rPr>
          <w:rFonts w:ascii="David" w:hAnsi="David"/>
          <w:rtl/>
        </w:rPr>
      </w:pPr>
    </w:p>
    <w:p w:rsidR="00D903E2" w:rsidRPr="00D903E2" w:rsidRDefault="00D903E2" w:rsidP="00D903E2">
      <w:pPr>
        <w:ind w:left="1134"/>
        <w:jc w:val="both"/>
        <w:rPr>
          <w:rFonts w:ascii="David" w:hAnsi="David"/>
          <w:rtl/>
        </w:rPr>
      </w:pPr>
      <w:r w:rsidRPr="00D903E2">
        <w:rPr>
          <w:rFonts w:ascii="David" w:hAnsi="David"/>
          <w:rtl/>
        </w:rPr>
        <w:t xml:space="preserve">באשר למאזן הנוחות, ככלל, כשמדובר בבקשה למתן סעד זמני למניעת דיספוזיציה בנכס מקרקעין, נוטה מאזן הנוחות לטובת מבקש הסעד הזמני. זאת, מפני שאם יתקבל ערעור המבקש לאחר שלא ניתן הסעד הזמני, עלול להיווצר מצב בלתי-הפיך (ע"א 4445/10 </w:t>
      </w:r>
      <w:r w:rsidRPr="00D903E2">
        <w:rPr>
          <w:rFonts w:ascii="David" w:hAnsi="David"/>
          <w:b/>
          <w:bCs/>
          <w:rtl/>
        </w:rPr>
        <w:t>אבן חיין נ' חברת צמרות המושבה יזום והשקעות בע"מ,</w:t>
      </w:r>
      <w:r w:rsidRPr="00D903E2">
        <w:rPr>
          <w:rFonts w:ascii="David" w:hAnsi="David"/>
          <w:rtl/>
        </w:rPr>
        <w:t xml:space="preserve"> פסקה 3 (15.8.2010); ע"א 268/14 </w:t>
      </w:r>
      <w:r w:rsidRPr="00D903E2">
        <w:rPr>
          <w:rFonts w:ascii="David" w:hAnsi="David"/>
          <w:b/>
          <w:bCs/>
          <w:rtl/>
        </w:rPr>
        <w:t>שחר הררי, עו"ד - נאמן על נכסי הים נ' מדמון</w:t>
      </w:r>
      <w:r w:rsidRPr="00D903E2">
        <w:rPr>
          <w:rFonts w:ascii="David" w:hAnsi="David"/>
          <w:rtl/>
        </w:rPr>
        <w:t xml:space="preserve"> (25.03.2014))</w:t>
      </w:r>
    </w:p>
    <w:p w:rsidR="00D903E2" w:rsidRPr="00D903E2" w:rsidRDefault="00D903E2" w:rsidP="00D903E2">
      <w:pPr>
        <w:ind w:left="1134"/>
        <w:jc w:val="both"/>
        <w:rPr>
          <w:rFonts w:ascii="David" w:hAnsi="David"/>
          <w:rtl/>
        </w:rPr>
      </w:pPr>
      <w:r w:rsidRPr="00D903E2">
        <w:rPr>
          <w:rFonts w:ascii="David" w:hAnsi="David"/>
          <w:rtl/>
        </w:rPr>
        <w:t>לכף אוסיף כי צו איסור דיספוזיציה הינו צו אישי אשר אוסר על האדם כלפיו מופנה הצו לבצע פעולות שיש בהן כדי לשנות מצב קיים והמטרה היא לשמרו.</w:t>
      </w:r>
    </w:p>
    <w:p w:rsidR="00D903E2" w:rsidRPr="00D903E2" w:rsidRDefault="00D903E2" w:rsidP="00D903E2">
      <w:pPr>
        <w:ind w:left="1134" w:hanging="414"/>
        <w:jc w:val="both"/>
        <w:rPr>
          <w:rFonts w:ascii="David" w:hAnsi="David"/>
          <w:rtl/>
        </w:rPr>
      </w:pPr>
    </w:p>
    <w:p w:rsidR="00D903E2" w:rsidRPr="00D903E2" w:rsidRDefault="00D903E2" w:rsidP="00237282">
      <w:pPr>
        <w:ind w:left="1134" w:hanging="414"/>
        <w:jc w:val="both"/>
        <w:rPr>
          <w:rFonts w:ascii="David" w:hAnsi="David"/>
          <w:rtl/>
        </w:rPr>
      </w:pPr>
      <w:r w:rsidRPr="00D903E2">
        <w:rPr>
          <w:rFonts w:ascii="David" w:hAnsi="David"/>
          <w:rtl/>
        </w:rPr>
        <w:t xml:space="preserve">ג. </w:t>
      </w:r>
      <w:r w:rsidRPr="00D903E2">
        <w:rPr>
          <w:rFonts w:ascii="David" w:hAnsi="David"/>
          <w:rtl/>
        </w:rPr>
        <w:tab/>
        <w:t>לא מצאתי כי יש סעד אוי יותר שישמר המצב הקיים ופגיעתו במשיבים תהא קלה יותר – כאשר כל שנדרש מהמשיבים הינו לשמור על המצב הקיים. לכך יש להוסיף ולהדגיש כי המשיבים מצידם לא טענו כי נכון למועד הגשת תגובתם ישנן עסקאות מכר מקרקעין תלויות ועומדות בינם ובין צדדים רביעים באופן בו הטלת הצו תביא לעיכוב ו/או סי</w:t>
      </w:r>
      <w:r w:rsidR="00237282">
        <w:rPr>
          <w:rFonts w:ascii="David" w:hAnsi="David" w:hint="cs"/>
          <w:rtl/>
        </w:rPr>
        <w:t>כ</w:t>
      </w:r>
      <w:r w:rsidRPr="00D903E2">
        <w:rPr>
          <w:rFonts w:ascii="David" w:hAnsi="David"/>
          <w:rtl/>
        </w:rPr>
        <w:t xml:space="preserve">ול העסקאות עד כדי גרימת נזק. נהפוך הוא, נטען ע"י המשיבים כי מקרקעין השונים נמכרו, הן לגבי אלו שבגבעת זאב והן לגבי אלו שבכפר סוואחרה. לגבי נכסים אחרים גם </w:t>
      </w:r>
      <w:r w:rsidRPr="00D903E2">
        <w:rPr>
          <w:rFonts w:ascii="David" w:hAnsi="David"/>
          <w:rtl/>
        </w:rPr>
        <w:lastRenderedPageBreak/>
        <w:t xml:space="preserve">נטען כי נמכרו זה מכבר, כך למשל לגבי המקרקעין שביישוב עין חמד נטען כי הם הופקעו זה מכבר וכי בהתאם להסכם ההסתלקות קיבלו המבקשות 2-6 40% מן התמורה. </w:t>
      </w:r>
    </w:p>
    <w:p w:rsidR="00D903E2" w:rsidRPr="00D903E2" w:rsidRDefault="00D903E2" w:rsidP="00D903E2">
      <w:pPr>
        <w:ind w:left="1134" w:hanging="414"/>
        <w:jc w:val="both"/>
        <w:rPr>
          <w:rFonts w:ascii="David" w:hAnsi="David"/>
          <w:rtl/>
        </w:rPr>
      </w:pPr>
      <w:r w:rsidRPr="00D903E2">
        <w:rPr>
          <w:rFonts w:ascii="David" w:hAnsi="David"/>
          <w:rtl/>
        </w:rPr>
        <w:t xml:space="preserve"> </w:t>
      </w:r>
    </w:p>
    <w:p w:rsidR="00D903E2" w:rsidRPr="00D903E2" w:rsidRDefault="00D903E2" w:rsidP="00D903E2">
      <w:pPr>
        <w:ind w:left="1134" w:hanging="414"/>
        <w:jc w:val="both"/>
        <w:rPr>
          <w:rFonts w:ascii="David" w:hAnsi="David"/>
          <w:rtl/>
        </w:rPr>
      </w:pPr>
      <w:r w:rsidRPr="00D903E2">
        <w:rPr>
          <w:rFonts w:ascii="David" w:hAnsi="David"/>
          <w:rtl/>
        </w:rPr>
        <w:t>ד.</w:t>
      </w:r>
      <w:r w:rsidRPr="00D903E2">
        <w:rPr>
          <w:rFonts w:ascii="David" w:hAnsi="David"/>
          <w:rtl/>
        </w:rPr>
        <w:tab/>
        <w:t>הסעד הינו ראוי וצודק בנסיבות העניין.</w:t>
      </w:r>
    </w:p>
    <w:p w:rsidR="00D903E2" w:rsidRPr="00D903E2" w:rsidRDefault="00D903E2" w:rsidP="00D903E2">
      <w:pPr>
        <w:ind w:left="1440" w:hanging="720"/>
        <w:jc w:val="both"/>
        <w:rPr>
          <w:rFonts w:ascii="David" w:hAnsi="David"/>
          <w:rtl/>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באשר  לת"ע 57027-08-21 שבין המבקשות כולן למשיבים, שם נטען להטעיה, הרי שאכן נטל ההוכחה המוטל על המבקשות גבוה במיוחד. על המבקשות לעבור מס' משוכות כדי להוכיח עילת תביעתן לאחר שכבר הסתלקו מרצון מעיזבון אביהם המנוח לטובת אחיהם. חזרה מהסתלקות מעיזבון אינה עניין של מה בכך, לבטח כאשר חלפו שנים רבות מאז ההסתלקות. המבקשות טוענות להטעיה ואילו המשיבים מצידם, אמנם שלא באופן מפורש, טוענים כי המבקשות, על פניו, טוענות לטעות בכדאיות העסקה, הגם שאינן רשאיות לטעון זאת וממילא "דין פרוטה כדין מאה" – כך שלשיטת המשיבים, מבחינת המבקשות היקף העיזבון אינו רלוונטי משום שע"פ דין תורה, הן מוותרות על ירושת אביהן בכל מקרה – לטובת אחיהן.   </w:t>
      </w:r>
    </w:p>
    <w:p w:rsidR="00D903E2" w:rsidRPr="00D903E2" w:rsidRDefault="00D903E2" w:rsidP="00D903E2">
      <w:pPr>
        <w:pStyle w:val="ae"/>
        <w:spacing w:line="240" w:lineRule="auto"/>
        <w:ind w:left="368"/>
        <w:jc w:val="both"/>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Pr>
      </w:pPr>
      <w:r w:rsidRPr="00D903E2">
        <w:rPr>
          <w:rFonts w:ascii="David" w:hAnsi="David" w:cs="David"/>
          <w:sz w:val="24"/>
          <w:szCs w:val="24"/>
          <w:rtl/>
        </w:rPr>
        <w:t>המבקשות 2-6 חתמו על הסכם הסתלקות לאחר שבין הצדדים נוהלו דין ודברים במשך למעלה משנה. במקביל להסכם ההסתלקות זה הוסכם בין המבקשת 1 למשיבים כי הזכויות בדירת המגורים המשותפת לבניה"ז תעבור על-שמה באופן בלעדי. המשיבות 2-6 קיבלו י</w:t>
      </w:r>
      <w:r w:rsidR="00237282">
        <w:rPr>
          <w:rFonts w:ascii="David" w:hAnsi="David" w:cs="David"/>
          <w:sz w:val="24"/>
          <w:szCs w:val="24"/>
          <w:rtl/>
        </w:rPr>
        <w:t>חד 40% מתמורת מכר הנכס שב</w:t>
      </w:r>
      <w:r w:rsidR="00237282">
        <w:rPr>
          <w:rFonts w:ascii="David" w:hAnsi="David" w:cs="David" w:hint="cs"/>
          <w:sz w:val="24"/>
          <w:szCs w:val="24"/>
          <w:rtl/>
        </w:rPr>
        <w:t>*** ***</w:t>
      </w:r>
      <w:r w:rsidRPr="00D903E2">
        <w:rPr>
          <w:rFonts w:ascii="David" w:hAnsi="David" w:cs="David"/>
          <w:sz w:val="24"/>
          <w:szCs w:val="24"/>
          <w:rtl/>
        </w:rPr>
        <w:t xml:space="preserve">.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לאחר חתימה על הסכם ההסתלקות חתמ</w:t>
      </w:r>
      <w:r w:rsidR="008B0B7F">
        <w:rPr>
          <w:rFonts w:ascii="David" w:hAnsi="David" w:cs="David"/>
          <w:sz w:val="24"/>
          <w:szCs w:val="24"/>
          <w:rtl/>
        </w:rPr>
        <w:t>ו המבקשות כול</w:t>
      </w:r>
      <w:r w:rsidR="008B0B7F">
        <w:rPr>
          <w:rFonts w:ascii="David" w:hAnsi="David" w:cs="David" w:hint="cs"/>
          <w:sz w:val="24"/>
          <w:szCs w:val="24"/>
          <w:rtl/>
        </w:rPr>
        <w:t>ן</w:t>
      </w:r>
      <w:r w:rsidRPr="00D903E2">
        <w:rPr>
          <w:rFonts w:ascii="David" w:hAnsi="David" w:cs="David"/>
          <w:sz w:val="24"/>
          <w:szCs w:val="24"/>
          <w:rtl/>
        </w:rPr>
        <w:t xml:space="preserve"> על תצהירי הסתלקות לטובת המשיבים וניתן צו ירושה בהתאם.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הרציונל העומד מאחורי, או לפני, הסכם ההסתלקות הינו אורח החיים על-פיו חיים הצדדים, הנוהגים לפי דין תורה הקובע כי הבנים במשפחה יורשים נכסיו של מנוח בלבד, ואכן מכוחו של דין תורה, מרצון ובידיעה ברורה כי המשפחה (הצדדים כולם) מקיימת דין תורה, לרבות בניה"ז של המבקשות 2-6, ברור היה כי הן יסתלקו מעיזבון אביהם לטובת אחיהן.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ואולם, לימים מגיעות המבקשות וטוענות כי הוטעו ע"י מש</w:t>
      </w:r>
      <w:r w:rsidR="00237282">
        <w:rPr>
          <w:rFonts w:ascii="David" w:hAnsi="David" w:cs="David"/>
          <w:sz w:val="24"/>
          <w:szCs w:val="24"/>
          <w:rtl/>
        </w:rPr>
        <w:t xml:space="preserve">יבים בשת"פ מלא שלהם עם הרב </w:t>
      </w:r>
      <w:r w:rsidR="00237282">
        <w:rPr>
          <w:rFonts w:ascii="David" w:hAnsi="David" w:cs="David" w:hint="cs"/>
          <w:sz w:val="24"/>
          <w:szCs w:val="24"/>
          <w:rtl/>
        </w:rPr>
        <w:t>*****</w:t>
      </w:r>
      <w:r w:rsidRPr="00D903E2">
        <w:rPr>
          <w:rFonts w:ascii="David" w:hAnsi="David" w:cs="David"/>
          <w:sz w:val="24"/>
          <w:szCs w:val="24"/>
          <w:rtl/>
        </w:rPr>
        <w:t xml:space="preserve">, כאשר הוצגה בפניהן תמונה מצומצמת ביחס להיקף נכסי העיזבון, באופן בו אילו ידעו מלכתחילה אודות ההיקף, לא היו מוותרות לאחיהן והיו יורשות באופן שווה להם.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לעניין זה אזכיר כי הוויתור של המבקשות לטובת המשיבים אינו מוחלט, האחד לאור זאת שדירת המגורים נרשמה באופן מלא ע"ש האם, הגם שלילדי המנוח עפ"י חוק זכויות ב-25% בדירה וכן המשיבות 2</w:t>
      </w:r>
      <w:r w:rsidR="00237282">
        <w:rPr>
          <w:rFonts w:ascii="David" w:hAnsi="David" w:cs="David"/>
          <w:sz w:val="24"/>
          <w:szCs w:val="24"/>
          <w:rtl/>
        </w:rPr>
        <w:t>-6 קיבלו 40% מהמקרקעין ש</w:t>
      </w:r>
      <w:r w:rsidR="00237282">
        <w:rPr>
          <w:rFonts w:ascii="David" w:hAnsi="David" w:cs="David" w:hint="cs"/>
          <w:sz w:val="24"/>
          <w:szCs w:val="24"/>
          <w:rtl/>
        </w:rPr>
        <w:t>ב*** ***</w:t>
      </w:r>
      <w:r w:rsidRPr="00D903E2">
        <w:rPr>
          <w:rFonts w:ascii="David" w:hAnsi="David" w:cs="David"/>
          <w:sz w:val="24"/>
          <w:szCs w:val="24"/>
          <w:rtl/>
        </w:rPr>
        <w:t xml:space="preserve">.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מגרסת המשיבים, בסע' 20 לתגובה מיום 16.12.21 לבקשה לסעד זמני הקודם, נטע</w:t>
      </w:r>
      <w:r w:rsidR="00237282">
        <w:rPr>
          <w:rFonts w:ascii="David" w:hAnsi="David" w:cs="David"/>
          <w:sz w:val="24"/>
          <w:szCs w:val="24"/>
          <w:rtl/>
        </w:rPr>
        <w:t xml:space="preserve">ן כי  השיח בין המבקשות לרב </w:t>
      </w:r>
      <w:r w:rsidR="00237282">
        <w:rPr>
          <w:rFonts w:ascii="David" w:hAnsi="David" w:cs="David" w:hint="cs"/>
          <w:sz w:val="24"/>
          <w:szCs w:val="24"/>
          <w:rtl/>
        </w:rPr>
        <w:t>*****</w:t>
      </w:r>
      <w:r w:rsidRPr="00D903E2">
        <w:rPr>
          <w:rFonts w:ascii="David" w:hAnsi="David" w:cs="David"/>
          <w:sz w:val="24"/>
          <w:szCs w:val="24"/>
          <w:rtl/>
        </w:rPr>
        <w:t xml:space="preserve"> נגע לעניין ההסתלקות מהעיזבון עפ"י דין דאורתייא, כך גם באשר לסע' 21 לתגובה דאז.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יחד עם זאת, מת</w:t>
      </w:r>
      <w:r w:rsidR="00237282">
        <w:rPr>
          <w:rFonts w:ascii="David" w:hAnsi="David" w:cs="David"/>
          <w:sz w:val="24"/>
          <w:szCs w:val="24"/>
          <w:rtl/>
        </w:rPr>
        <w:t xml:space="preserve">מלול השיחה שבין המבקשת לרב </w:t>
      </w:r>
      <w:r w:rsidR="00237282">
        <w:rPr>
          <w:rFonts w:ascii="David" w:hAnsi="David" w:cs="David" w:hint="cs"/>
          <w:sz w:val="24"/>
          <w:szCs w:val="24"/>
          <w:rtl/>
        </w:rPr>
        <w:t>****</w:t>
      </w:r>
      <w:r w:rsidRPr="00D903E2">
        <w:rPr>
          <w:rFonts w:ascii="David" w:hAnsi="David" w:cs="David"/>
          <w:sz w:val="24"/>
          <w:szCs w:val="24"/>
          <w:rtl/>
        </w:rPr>
        <w:t xml:space="preserve"> עולה כי היא ידעה אודות קיומם </w:t>
      </w:r>
      <w:r w:rsidR="00237282">
        <w:rPr>
          <w:rFonts w:ascii="David" w:hAnsi="David" w:cs="David"/>
          <w:sz w:val="24"/>
          <w:szCs w:val="24"/>
          <w:rtl/>
        </w:rPr>
        <w:t xml:space="preserve">של נכסי המקרקעין ביישוב </w:t>
      </w:r>
      <w:r w:rsidR="00237282">
        <w:rPr>
          <w:rFonts w:ascii="David" w:hAnsi="David" w:cs="David" w:hint="cs"/>
          <w:sz w:val="24"/>
          <w:szCs w:val="24"/>
          <w:rtl/>
        </w:rPr>
        <w:t>*** ***</w:t>
      </w:r>
      <w:r w:rsidR="00237282">
        <w:rPr>
          <w:rFonts w:ascii="David" w:hAnsi="David" w:cs="David"/>
          <w:sz w:val="24"/>
          <w:szCs w:val="24"/>
          <w:rtl/>
        </w:rPr>
        <w:t>, ב</w:t>
      </w:r>
      <w:r w:rsidR="00237282">
        <w:rPr>
          <w:rFonts w:ascii="David" w:hAnsi="David" w:cs="David" w:hint="cs"/>
          <w:sz w:val="24"/>
          <w:szCs w:val="24"/>
          <w:rtl/>
        </w:rPr>
        <w:t>*******</w:t>
      </w:r>
      <w:r w:rsidR="00237282">
        <w:rPr>
          <w:rFonts w:ascii="David" w:hAnsi="David" w:cs="David"/>
          <w:sz w:val="24"/>
          <w:szCs w:val="24"/>
          <w:rtl/>
        </w:rPr>
        <w:t xml:space="preserve"> ובשכונת </w:t>
      </w:r>
      <w:r w:rsidR="00237282">
        <w:rPr>
          <w:rFonts w:ascii="David" w:hAnsi="David" w:cs="David" w:hint="cs"/>
          <w:sz w:val="24"/>
          <w:szCs w:val="24"/>
          <w:rtl/>
        </w:rPr>
        <w:t>****</w:t>
      </w:r>
      <w:r w:rsidR="00237282">
        <w:rPr>
          <w:rFonts w:ascii="David" w:hAnsi="David" w:cs="David"/>
          <w:sz w:val="24"/>
          <w:szCs w:val="24"/>
          <w:rtl/>
        </w:rPr>
        <w:t xml:space="preserve"> ב</w:t>
      </w:r>
      <w:r w:rsidR="00237282">
        <w:rPr>
          <w:rFonts w:ascii="David" w:hAnsi="David" w:cs="David" w:hint="cs"/>
          <w:sz w:val="24"/>
          <w:szCs w:val="24"/>
          <w:rtl/>
        </w:rPr>
        <w:t>******</w:t>
      </w:r>
      <w:r w:rsidRPr="00D903E2">
        <w:rPr>
          <w:rFonts w:ascii="David" w:hAnsi="David" w:cs="David"/>
          <w:sz w:val="24"/>
          <w:szCs w:val="24"/>
          <w:rtl/>
        </w:rPr>
        <w:t xml:space="preserve"> (ר' נספח 1' לתגובה מיום 16.12.21 בתמ"ש 56707-11-21). לעניין זה יצוין כי המבקשת היתה מודעת</w:t>
      </w:r>
      <w:r w:rsidR="00237282">
        <w:rPr>
          <w:rFonts w:ascii="David" w:hAnsi="David" w:cs="David"/>
          <w:sz w:val="24"/>
          <w:szCs w:val="24"/>
          <w:rtl/>
        </w:rPr>
        <w:t xml:space="preserve"> לקיומה של הקרקע ביישוב </w:t>
      </w:r>
      <w:r w:rsidR="00237282">
        <w:rPr>
          <w:rFonts w:ascii="David" w:hAnsi="David" w:cs="David" w:hint="cs"/>
          <w:sz w:val="24"/>
          <w:szCs w:val="24"/>
          <w:rtl/>
        </w:rPr>
        <w:t>**** ***</w:t>
      </w:r>
      <w:r w:rsidRPr="00D903E2">
        <w:rPr>
          <w:rFonts w:ascii="David" w:hAnsi="David" w:cs="David"/>
          <w:sz w:val="24"/>
          <w:szCs w:val="24"/>
          <w:rtl/>
        </w:rPr>
        <w:t xml:space="preserve">, ר' למשל עדותה בפרוטוקול הדיון (בעמ' 23).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8B0B7F">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על הנכס ב</w:t>
      </w:r>
      <w:r w:rsidR="008B0B7F">
        <w:rPr>
          <w:rFonts w:ascii="David" w:hAnsi="David" w:cs="David" w:hint="cs"/>
          <w:sz w:val="24"/>
          <w:szCs w:val="24"/>
          <w:rtl/>
        </w:rPr>
        <w:t xml:space="preserve">**** </w:t>
      </w:r>
      <w:r w:rsidRPr="00D903E2">
        <w:rPr>
          <w:rFonts w:ascii="David" w:hAnsi="David" w:cs="David"/>
          <w:sz w:val="24"/>
          <w:szCs w:val="24"/>
          <w:rtl/>
        </w:rPr>
        <w:t xml:space="preserve">למדו הצדדים בשנת 2016- ר' סע' 22-23 לתגובת המשיבים כנ"ל.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ליבת המחלוקת בנידוננו הינה שאלת הידעה אודות היקף העיזבון והנפקות שלה על הסתלקות המבקשות לטובת אחיהן. שוב ושוב נטען ע"י המבקשות בכתבי הטענות ובמעמד הדיון כי אילו היו מודעות להיקפו של העיזבון לא היו מוותרות לטובת אחיהן. המשיבים מצידם טענו כי עפ"י דין תורה ההסתלקות הינה טוטלית ללא קשר להיקף העיזבון וכמשתמע מכך – למעשה אינם מחויבים להציג למבקשות את מצבת נכסי המנוח.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23728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lastRenderedPageBreak/>
        <w:t xml:space="preserve">דומני כי בשלב זה, וכאשר על המבקשות משוכה גבוהה במיוחד, קיימת בפניי </w:t>
      </w:r>
      <w:r w:rsidR="00237282">
        <w:rPr>
          <w:rFonts w:ascii="David" w:hAnsi="David" w:cs="David"/>
          <w:sz w:val="24"/>
          <w:szCs w:val="24"/>
          <w:rtl/>
        </w:rPr>
        <w:t>ראיה לכאורה באשר לקרקע ב</w:t>
      </w:r>
      <w:r w:rsidR="00237282">
        <w:rPr>
          <w:rFonts w:ascii="David" w:hAnsi="David" w:cs="David" w:hint="cs"/>
          <w:sz w:val="24"/>
          <w:szCs w:val="24"/>
          <w:rtl/>
        </w:rPr>
        <w:t>**** ***</w:t>
      </w:r>
      <w:r w:rsidRPr="00D903E2">
        <w:rPr>
          <w:rFonts w:ascii="David" w:hAnsi="David" w:cs="David"/>
          <w:sz w:val="24"/>
          <w:szCs w:val="24"/>
          <w:rtl/>
        </w:rPr>
        <w:t xml:space="preserve">. מבלי לקבוע מסמרות, התרשמתי כי המבקשות לא ידעו כי מדובר בשטח שגודלו 100 דונם ואכן סברו כי מדובר על הסכם מכר לרב </w:t>
      </w:r>
      <w:r w:rsidR="00237282">
        <w:rPr>
          <w:rFonts w:ascii="David" w:hAnsi="David" w:cs="David" w:hint="cs"/>
          <w:sz w:val="24"/>
          <w:szCs w:val="24"/>
          <w:rtl/>
        </w:rPr>
        <w:t>*****</w:t>
      </w:r>
      <w:r w:rsidRPr="00D903E2">
        <w:rPr>
          <w:rFonts w:ascii="David" w:hAnsi="David" w:cs="David"/>
          <w:sz w:val="24"/>
          <w:szCs w:val="24"/>
          <w:rtl/>
        </w:rPr>
        <w:t xml:space="preserve"> בעניין 6 דונם, הא ותו לא. רק לימים התברר </w:t>
      </w:r>
      <w:r w:rsidR="00237282">
        <w:rPr>
          <w:rFonts w:ascii="David" w:hAnsi="David" w:cs="David" w:hint="cs"/>
          <w:sz w:val="24"/>
          <w:szCs w:val="24"/>
          <w:rtl/>
        </w:rPr>
        <w:t>ל</w:t>
      </w:r>
      <w:r w:rsidRPr="00D903E2">
        <w:rPr>
          <w:rFonts w:ascii="David" w:hAnsi="David" w:cs="David"/>
          <w:sz w:val="24"/>
          <w:szCs w:val="24"/>
          <w:rtl/>
        </w:rPr>
        <w:t xml:space="preserve">מבקשות כי השטח עליו ויתרו לטובת אחיהם גדול באופן משמעותי מכפי שסברו. המשיבים כאמור לא טענו כי המבקשות, לרבות המבקשת, לא ידעו אודות גודלה של הקרקע.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23728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על הנכס ב</w:t>
      </w:r>
      <w:r w:rsidR="00237282">
        <w:rPr>
          <w:rFonts w:ascii="David" w:hAnsi="David" w:cs="David" w:hint="cs"/>
          <w:sz w:val="24"/>
          <w:szCs w:val="24"/>
          <w:rtl/>
        </w:rPr>
        <w:t>****</w:t>
      </w:r>
      <w:r w:rsidRPr="00D903E2">
        <w:rPr>
          <w:rFonts w:ascii="David" w:hAnsi="David" w:cs="David"/>
          <w:sz w:val="24"/>
          <w:szCs w:val="24"/>
          <w:rtl/>
        </w:rPr>
        <w:t xml:space="preserve"> גילו הצדדים רק לימים.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23728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מידע על הנכס </w:t>
      </w:r>
      <w:r w:rsidR="00237282">
        <w:rPr>
          <w:rFonts w:ascii="David" w:hAnsi="David" w:cs="David" w:hint="cs"/>
          <w:sz w:val="24"/>
          <w:szCs w:val="24"/>
          <w:rtl/>
        </w:rPr>
        <w:t>ב*** ***</w:t>
      </w:r>
      <w:r w:rsidR="00237282">
        <w:rPr>
          <w:rFonts w:ascii="David" w:hAnsi="David" w:cs="David"/>
          <w:sz w:val="24"/>
          <w:szCs w:val="24"/>
          <w:rtl/>
        </w:rPr>
        <w:t xml:space="preserve"> ותמורתו אינו ברור</w:t>
      </w:r>
      <w:r w:rsidRPr="00D903E2">
        <w:rPr>
          <w:rFonts w:ascii="David" w:hAnsi="David" w:cs="David"/>
          <w:sz w:val="24"/>
          <w:szCs w:val="24"/>
          <w:rtl/>
        </w:rPr>
        <w:t xml:space="preserve"> אולם המבקשות קיבלו תמורה של 40% ממכירתו.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b/>
          <w:bCs/>
          <w:sz w:val="24"/>
          <w:szCs w:val="24"/>
          <w:rtl/>
        </w:rPr>
      </w:pPr>
      <w:r w:rsidRPr="00D903E2">
        <w:rPr>
          <w:rFonts w:ascii="David" w:hAnsi="David" w:cs="David"/>
          <w:b/>
          <w:bCs/>
          <w:sz w:val="24"/>
          <w:szCs w:val="24"/>
          <w:rtl/>
        </w:rPr>
        <w:t>השאלה שעל ביהמ"ש יהא להידרש לה בבוא העת הינה המשמעות של ויתור עפ"י דין תורה והאם מלכתחילה היה צורך להציג את היקף נכסי העיזבון אם לאו, בשעה שממילא הו</w:t>
      </w:r>
      <w:r w:rsidR="008B0B7F">
        <w:rPr>
          <w:rFonts w:ascii="David" w:hAnsi="David" w:cs="David" w:hint="cs"/>
          <w:b/>
          <w:bCs/>
          <w:sz w:val="24"/>
          <w:szCs w:val="24"/>
          <w:rtl/>
        </w:rPr>
        <w:t>ו</w:t>
      </w:r>
      <w:r w:rsidRPr="00D903E2">
        <w:rPr>
          <w:rFonts w:ascii="David" w:hAnsi="David" w:cs="David"/>
          <w:b/>
          <w:bCs/>
          <w:sz w:val="24"/>
          <w:szCs w:val="24"/>
          <w:rtl/>
        </w:rPr>
        <w:t xml:space="preserve">יתור של המסתלקות הינו גורף לטובת הבנים במשפחה.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D903E2">
      <w:pPr>
        <w:pStyle w:val="ae"/>
        <w:numPr>
          <w:ilvl w:val="0"/>
          <w:numId w:val="1"/>
        </w:numPr>
        <w:spacing w:line="240" w:lineRule="auto"/>
        <w:ind w:left="368" w:hanging="426"/>
        <w:jc w:val="both"/>
        <w:rPr>
          <w:rFonts w:ascii="David" w:hAnsi="David" w:cs="David"/>
          <w:sz w:val="24"/>
          <w:szCs w:val="24"/>
          <w:rtl/>
        </w:rPr>
      </w:pPr>
      <w:r w:rsidRPr="00D903E2">
        <w:rPr>
          <w:rFonts w:ascii="David" w:hAnsi="David" w:cs="David"/>
          <w:sz w:val="24"/>
          <w:szCs w:val="24"/>
          <w:rtl/>
        </w:rPr>
        <w:t xml:space="preserve">בעדותו של המשיב 2 מיום 23.10.22 הוא נשאל והשיב כי אמנם הם (הבנים) ידעו אודות גודל הקרקע ברם לא ידעו מה שוויה, וכן העיד כי שווי הנכסים כלל לא היה נושא המו"מ בין הצדדים, בהתאם לדין תורה (עמ' 36 לפרו'): </w:t>
      </w:r>
    </w:p>
    <w:p w:rsidR="00D903E2" w:rsidRPr="00D903E2" w:rsidRDefault="00D903E2" w:rsidP="00D903E2">
      <w:pPr>
        <w:pStyle w:val="ae"/>
        <w:spacing w:line="240" w:lineRule="auto"/>
        <w:rPr>
          <w:rFonts w:ascii="David" w:hAnsi="David" w:cs="David"/>
          <w:sz w:val="24"/>
          <w:szCs w:val="24"/>
        </w:rPr>
      </w:pPr>
    </w:p>
    <w:p w:rsidR="00D903E2" w:rsidRPr="00D903E2" w:rsidRDefault="00D903E2" w:rsidP="00237282">
      <w:pPr>
        <w:pStyle w:val="ae"/>
        <w:spacing w:line="240" w:lineRule="auto"/>
        <w:ind w:left="651"/>
        <w:jc w:val="both"/>
        <w:rPr>
          <w:rFonts w:ascii="David" w:hAnsi="David" w:cs="David"/>
          <w:b/>
          <w:bCs/>
          <w:i/>
          <w:iCs/>
          <w:sz w:val="24"/>
          <w:szCs w:val="24"/>
          <w:rtl/>
        </w:rPr>
      </w:pPr>
      <w:r w:rsidRPr="00D903E2">
        <w:rPr>
          <w:rFonts w:ascii="David" w:hAnsi="David" w:cs="David"/>
          <w:b/>
          <w:bCs/>
          <w:i/>
          <w:iCs/>
          <w:sz w:val="24"/>
          <w:szCs w:val="24"/>
          <w:rtl/>
        </w:rPr>
        <w:t xml:space="preserve">"ת. אנחנו ידענו את גודל הנכס כמה דונם יש שם. אבא לא הכחיש. </w:t>
      </w:r>
      <w:r w:rsidR="00237282">
        <w:rPr>
          <w:rFonts w:ascii="David" w:hAnsi="David" w:cs="David" w:hint="cs"/>
          <w:b/>
          <w:bCs/>
          <w:i/>
          <w:iCs/>
          <w:sz w:val="24"/>
          <w:szCs w:val="24"/>
          <w:rtl/>
        </w:rPr>
        <w:t>*****</w:t>
      </w:r>
      <w:r w:rsidRPr="00D903E2">
        <w:rPr>
          <w:rFonts w:ascii="David" w:hAnsi="David" w:cs="David"/>
          <w:b/>
          <w:bCs/>
          <w:i/>
          <w:iCs/>
          <w:sz w:val="24"/>
          <w:szCs w:val="24"/>
          <w:rtl/>
        </w:rPr>
        <w:t xml:space="preserve"> אמר שהשווי הוא לא שווי גדול. הוא הסתיר מאיתנו מידע לגבי השווי אבל לגבי היקף הנכס הוא לא הסתיר. אנחנו ידענו...</w:t>
      </w:r>
    </w:p>
    <w:p w:rsidR="00D903E2" w:rsidRPr="00D903E2" w:rsidRDefault="00D903E2" w:rsidP="00237282">
      <w:pPr>
        <w:pStyle w:val="ae"/>
        <w:spacing w:line="240" w:lineRule="auto"/>
        <w:ind w:left="651"/>
        <w:jc w:val="both"/>
        <w:rPr>
          <w:rFonts w:ascii="David" w:hAnsi="David" w:cs="David"/>
          <w:b/>
          <w:bCs/>
          <w:i/>
          <w:iCs/>
          <w:sz w:val="24"/>
          <w:szCs w:val="24"/>
          <w:rtl/>
        </w:rPr>
      </w:pPr>
      <w:r w:rsidRPr="00D903E2">
        <w:rPr>
          <w:rFonts w:ascii="David" w:hAnsi="David" w:cs="David"/>
          <w:b/>
          <w:bCs/>
          <w:i/>
          <w:iCs/>
          <w:sz w:val="24"/>
          <w:szCs w:val="24"/>
          <w:rtl/>
        </w:rPr>
        <w:t xml:space="preserve">ש. ואכן הגשתם נגד </w:t>
      </w:r>
      <w:r w:rsidR="00237282">
        <w:rPr>
          <w:rFonts w:ascii="David" w:hAnsi="David" w:cs="David" w:hint="cs"/>
          <w:b/>
          <w:bCs/>
          <w:i/>
          <w:iCs/>
          <w:sz w:val="24"/>
          <w:szCs w:val="24"/>
          <w:rtl/>
        </w:rPr>
        <w:t>*****</w:t>
      </w:r>
      <w:r w:rsidRPr="00D903E2">
        <w:rPr>
          <w:rFonts w:ascii="David" w:hAnsi="David" w:cs="David"/>
          <w:b/>
          <w:bCs/>
          <w:i/>
          <w:iCs/>
          <w:sz w:val="24"/>
          <w:szCs w:val="24"/>
          <w:rtl/>
        </w:rPr>
        <w:t xml:space="preserve"> תביעה כי הוא הסתיר מכם</w:t>
      </w:r>
    </w:p>
    <w:p w:rsidR="00D903E2" w:rsidRPr="00D903E2" w:rsidRDefault="00D903E2" w:rsidP="00D903E2">
      <w:pPr>
        <w:pStyle w:val="ae"/>
        <w:spacing w:line="240" w:lineRule="auto"/>
        <w:ind w:left="651"/>
        <w:jc w:val="both"/>
        <w:rPr>
          <w:rFonts w:ascii="David" w:hAnsi="David" w:cs="David"/>
          <w:b/>
          <w:bCs/>
          <w:i/>
          <w:iCs/>
          <w:sz w:val="24"/>
          <w:szCs w:val="24"/>
          <w:rtl/>
        </w:rPr>
      </w:pPr>
      <w:r w:rsidRPr="00D903E2">
        <w:rPr>
          <w:rFonts w:ascii="David" w:hAnsi="David" w:cs="David"/>
          <w:b/>
          <w:bCs/>
          <w:i/>
          <w:iCs/>
          <w:sz w:val="24"/>
          <w:szCs w:val="24"/>
          <w:rtl/>
        </w:rPr>
        <w:t xml:space="preserve">תץ. זאת לא מהות התביעה. </w:t>
      </w:r>
    </w:p>
    <w:p w:rsidR="00D903E2" w:rsidRPr="00D903E2" w:rsidRDefault="00D903E2" w:rsidP="00D903E2">
      <w:pPr>
        <w:ind w:left="651"/>
        <w:jc w:val="both"/>
        <w:rPr>
          <w:rFonts w:ascii="David" w:hAnsi="David"/>
          <w:b/>
          <w:bCs/>
          <w:i/>
          <w:iCs/>
          <w:rtl/>
        </w:rPr>
      </w:pPr>
      <w:r w:rsidRPr="00D903E2">
        <w:rPr>
          <w:rFonts w:ascii="David" w:hAnsi="David"/>
          <w:b/>
          <w:bCs/>
          <w:i/>
          <w:iCs/>
          <w:rtl/>
        </w:rPr>
        <w:t xml:space="preserve">ש. </w:t>
      </w:r>
      <w:r w:rsidR="00237282">
        <w:rPr>
          <w:rFonts w:ascii="David" w:hAnsi="David"/>
          <w:b/>
          <w:bCs/>
          <w:i/>
          <w:iCs/>
          <w:rtl/>
        </w:rPr>
        <w:t xml:space="preserve">אמא שלך ואחיות שלך ידעו מה </w:t>
      </w:r>
      <w:r w:rsidR="00237282">
        <w:rPr>
          <w:rFonts w:ascii="David" w:hAnsi="David" w:hint="cs"/>
          <w:b/>
          <w:bCs/>
          <w:i/>
          <w:iCs/>
          <w:rtl/>
        </w:rPr>
        <w:t>*****</w:t>
      </w:r>
      <w:r w:rsidRPr="00D903E2">
        <w:rPr>
          <w:rFonts w:ascii="David" w:hAnsi="David"/>
          <w:b/>
          <w:bCs/>
          <w:i/>
          <w:iCs/>
          <w:rtl/>
        </w:rPr>
        <w:t xml:space="preserve"> מסתיר, מה השווי, מה ההיתכנות ולמרות זאת חתמו על תצהיר הסתלקות ורק אתם לא יודעים את ההיקף. </w:t>
      </w:r>
    </w:p>
    <w:p w:rsidR="00D903E2" w:rsidRPr="00D903E2" w:rsidRDefault="00D903E2" w:rsidP="00D903E2">
      <w:pPr>
        <w:ind w:left="651"/>
        <w:jc w:val="both"/>
        <w:rPr>
          <w:rFonts w:ascii="David" w:hAnsi="David"/>
          <w:b/>
          <w:bCs/>
          <w:i/>
          <w:iCs/>
          <w:rtl/>
        </w:rPr>
      </w:pPr>
      <w:r w:rsidRPr="00D903E2">
        <w:rPr>
          <w:rFonts w:ascii="David" w:hAnsi="David"/>
          <w:b/>
          <w:bCs/>
          <w:i/>
          <w:iCs/>
          <w:rtl/>
        </w:rPr>
        <w:t>ת. מכיון שאנו הבנים וגם האחיות, כל המשפחה אנחנו אנשים חרדים שומרי תורה ומצוות. מבחינה הלכתית זה היה מוסכם על כולם. היום הם טוענים דברים אחרים. כל המו"מ התנהל מדין מתנה, ת. אנחנו ידענו את גודל הנכס כמה</w:t>
      </w:r>
      <w:r w:rsidR="00237282">
        <w:rPr>
          <w:rFonts w:ascii="David" w:hAnsi="David"/>
          <w:b/>
          <w:bCs/>
          <w:i/>
          <w:iCs/>
          <w:rtl/>
        </w:rPr>
        <w:t xml:space="preserve"> דונם יש שם. אבא לא הכחיש. </w:t>
      </w:r>
      <w:r w:rsidR="00237282">
        <w:rPr>
          <w:rFonts w:ascii="David" w:hAnsi="David" w:hint="cs"/>
          <w:b/>
          <w:bCs/>
          <w:i/>
          <w:iCs/>
          <w:rtl/>
        </w:rPr>
        <w:t>*****</w:t>
      </w:r>
      <w:r w:rsidRPr="00D903E2">
        <w:rPr>
          <w:rFonts w:ascii="David" w:hAnsi="David"/>
          <w:b/>
          <w:bCs/>
          <w:i/>
          <w:iCs/>
          <w:rtl/>
        </w:rPr>
        <w:t xml:space="preserve"> אמר שהשווי הוא לא שווי גדול. הוא הסתיר מאיתנו מידע לגבי השווי אבל לגבי היקף הנכס הוא לא הסתיר. אנחנו ידענו</w:t>
      </w:r>
    </w:p>
    <w:p w:rsidR="00D903E2" w:rsidRPr="00D903E2" w:rsidRDefault="00237282" w:rsidP="00D903E2">
      <w:pPr>
        <w:ind w:left="651"/>
        <w:jc w:val="both"/>
        <w:rPr>
          <w:rFonts w:ascii="David" w:hAnsi="David"/>
          <w:b/>
          <w:bCs/>
          <w:i/>
          <w:iCs/>
        </w:rPr>
      </w:pPr>
      <w:r>
        <w:rPr>
          <w:rFonts w:ascii="David" w:hAnsi="David"/>
          <w:b/>
          <w:bCs/>
          <w:i/>
          <w:iCs/>
          <w:rtl/>
        </w:rPr>
        <w:t xml:space="preserve">ש. ואכן הגשתם נגד </w:t>
      </w:r>
      <w:r>
        <w:rPr>
          <w:rFonts w:ascii="David" w:hAnsi="David" w:hint="cs"/>
          <w:b/>
          <w:bCs/>
          <w:i/>
          <w:iCs/>
          <w:rtl/>
        </w:rPr>
        <w:t>*****</w:t>
      </w:r>
      <w:r w:rsidR="00D903E2" w:rsidRPr="00D903E2">
        <w:rPr>
          <w:rFonts w:ascii="David" w:hAnsi="David"/>
          <w:b/>
          <w:bCs/>
          <w:i/>
          <w:iCs/>
          <w:rtl/>
        </w:rPr>
        <w:t xml:space="preserve"> תביעה כי הוא הסתיר מכם</w:t>
      </w:r>
    </w:p>
    <w:p w:rsidR="00D903E2" w:rsidRPr="00D903E2" w:rsidRDefault="00D903E2" w:rsidP="00D903E2">
      <w:pPr>
        <w:ind w:left="651"/>
        <w:jc w:val="both"/>
        <w:rPr>
          <w:rFonts w:ascii="David" w:hAnsi="David"/>
          <w:b/>
          <w:bCs/>
          <w:i/>
          <w:iCs/>
          <w:rtl/>
        </w:rPr>
      </w:pPr>
      <w:r w:rsidRPr="00D903E2">
        <w:rPr>
          <w:rFonts w:ascii="David" w:hAnsi="David"/>
          <w:b/>
          <w:bCs/>
          <w:i/>
          <w:iCs/>
          <w:rtl/>
        </w:rPr>
        <w:t>תץ. זאת לא מהות התביעה.</w:t>
      </w:r>
    </w:p>
    <w:p w:rsidR="00D903E2" w:rsidRPr="00D903E2" w:rsidRDefault="00D903E2" w:rsidP="00D903E2">
      <w:pPr>
        <w:ind w:left="651"/>
        <w:jc w:val="both"/>
        <w:rPr>
          <w:rFonts w:ascii="David" w:hAnsi="David"/>
          <w:b/>
          <w:bCs/>
          <w:i/>
          <w:iCs/>
          <w:rtl/>
        </w:rPr>
      </w:pPr>
      <w:r w:rsidRPr="00D903E2">
        <w:rPr>
          <w:rFonts w:ascii="David" w:hAnsi="David"/>
          <w:b/>
          <w:bCs/>
          <w:i/>
          <w:iCs/>
          <w:rtl/>
        </w:rPr>
        <w:t xml:space="preserve">ש. </w:t>
      </w:r>
      <w:r w:rsidR="00237282">
        <w:rPr>
          <w:rFonts w:ascii="David" w:hAnsi="David"/>
          <w:b/>
          <w:bCs/>
          <w:i/>
          <w:iCs/>
          <w:rtl/>
        </w:rPr>
        <w:t xml:space="preserve">אמא שלך ואחיות שלך ידעו מה </w:t>
      </w:r>
      <w:r w:rsidR="00237282">
        <w:rPr>
          <w:rFonts w:ascii="David" w:hAnsi="David" w:hint="cs"/>
          <w:b/>
          <w:bCs/>
          <w:i/>
          <w:iCs/>
          <w:rtl/>
        </w:rPr>
        <w:t>*****</w:t>
      </w:r>
      <w:r w:rsidRPr="00D903E2">
        <w:rPr>
          <w:rFonts w:ascii="David" w:hAnsi="David"/>
          <w:b/>
          <w:bCs/>
          <w:i/>
          <w:iCs/>
          <w:rtl/>
        </w:rPr>
        <w:t xml:space="preserve"> מסתיר, מה השווי, מה ההיתכנות ולמרות זאת חתמו על תצהיר הסתלקות ורק אתם לא יודעים את ההיקף. </w:t>
      </w:r>
    </w:p>
    <w:p w:rsidR="00D903E2" w:rsidRPr="00D903E2" w:rsidRDefault="00D903E2" w:rsidP="00D903E2">
      <w:pPr>
        <w:ind w:left="651"/>
        <w:jc w:val="both"/>
        <w:rPr>
          <w:rFonts w:ascii="David" w:hAnsi="David"/>
          <w:b/>
          <w:bCs/>
          <w:i/>
          <w:iCs/>
          <w:rtl/>
        </w:rPr>
      </w:pPr>
      <w:r w:rsidRPr="00D903E2">
        <w:rPr>
          <w:rFonts w:ascii="David" w:hAnsi="David"/>
          <w:b/>
          <w:bCs/>
          <w:i/>
          <w:iCs/>
          <w:rtl/>
        </w:rPr>
        <w:t xml:space="preserve">ת.  מכיון שאנו הבנים וגם האחיות, כל המשפחה אנחנו אנשים חרדים שומרי תורה ומצוות. מבחינה הלכתית זה היה מוסכם על כולם. היום הם טוענים דברים אחרים. כל המו"מ התנהל מדין מתנה, אחרי שכבר היתה ירושה בעצם זה שלנו וכדי שהן יחתמו על תצהיר ההסתלקות נותנים להן מתנה. השווי של הנכס אז זה לא היה הנושא. </w:t>
      </w:r>
    </w:p>
    <w:p w:rsidR="00D903E2" w:rsidRPr="00D903E2" w:rsidRDefault="00D903E2" w:rsidP="00D903E2">
      <w:pPr>
        <w:ind w:left="651"/>
        <w:jc w:val="both"/>
        <w:rPr>
          <w:rFonts w:ascii="David" w:hAnsi="David"/>
          <w:b/>
          <w:bCs/>
          <w:i/>
          <w:iCs/>
          <w:rtl/>
        </w:rPr>
      </w:pPr>
      <w:r w:rsidRPr="00D903E2">
        <w:rPr>
          <w:rFonts w:ascii="David" w:hAnsi="David"/>
          <w:b/>
          <w:bCs/>
          <w:i/>
          <w:iCs/>
          <w:rtl/>
        </w:rPr>
        <w:t xml:space="preserve"> לשאלת</w:t>
      </w:r>
      <w:r w:rsidRPr="00D903E2">
        <w:rPr>
          <w:rtl/>
        </w:rPr>
        <w:t xml:space="preserve"> </w:t>
      </w:r>
      <w:r w:rsidRPr="00D903E2">
        <w:rPr>
          <w:rFonts w:ascii="David" w:hAnsi="David"/>
          <w:b/>
          <w:bCs/>
          <w:i/>
          <w:iCs/>
          <w:rtl/>
        </w:rPr>
        <w:t xml:space="preserve">בית המשפט, כל המו"מ התנהל רק על כמה באופן וולנטרי מתנה בכלל לא ביחס לשווי הקרקע. </w:t>
      </w:r>
    </w:p>
    <w:p w:rsidR="00D903E2" w:rsidRPr="00D903E2" w:rsidRDefault="00D903E2" w:rsidP="00D903E2">
      <w:pPr>
        <w:ind w:left="651"/>
        <w:jc w:val="both"/>
        <w:rPr>
          <w:rFonts w:ascii="David" w:hAnsi="David"/>
          <w:b/>
          <w:bCs/>
          <w:i/>
          <w:iCs/>
          <w:rtl/>
        </w:rPr>
      </w:pPr>
      <w:r w:rsidRPr="00D903E2">
        <w:rPr>
          <w:rFonts w:ascii="David" w:hAnsi="David"/>
          <w:b/>
          <w:bCs/>
          <w:i/>
          <w:iCs/>
          <w:rtl/>
        </w:rPr>
        <w:t xml:space="preserve">ש.ת. ידענו את ההיקף אבל לא היתה לנו שמאות ולא ידענו מה מחירה." </w:t>
      </w:r>
    </w:p>
    <w:p w:rsidR="00D903E2" w:rsidRPr="00D903E2" w:rsidRDefault="00D903E2" w:rsidP="00D903E2">
      <w:pPr>
        <w:pStyle w:val="ae"/>
        <w:spacing w:line="240" w:lineRule="auto"/>
        <w:ind w:left="368"/>
        <w:rPr>
          <w:rFonts w:ascii="David" w:hAnsi="David" w:cs="David"/>
          <w:sz w:val="24"/>
          <w:szCs w:val="24"/>
          <w:rtl/>
        </w:rPr>
      </w:pPr>
    </w:p>
    <w:p w:rsidR="00D903E2" w:rsidRPr="00D903E2" w:rsidRDefault="00D903E2" w:rsidP="00D903E2">
      <w:pPr>
        <w:pStyle w:val="ae"/>
        <w:numPr>
          <w:ilvl w:val="0"/>
          <w:numId w:val="1"/>
        </w:numPr>
        <w:spacing w:line="240" w:lineRule="auto"/>
        <w:ind w:left="368" w:hanging="778"/>
        <w:jc w:val="both"/>
        <w:rPr>
          <w:rFonts w:ascii="David" w:hAnsi="David" w:cs="David"/>
          <w:sz w:val="24"/>
          <w:szCs w:val="24"/>
        </w:rPr>
      </w:pPr>
      <w:r w:rsidRPr="00D903E2">
        <w:rPr>
          <w:rFonts w:ascii="David" w:eastAsia="Times New Roman" w:hAnsi="David" w:cs="David"/>
          <w:noProof/>
          <w:sz w:val="24"/>
          <w:szCs w:val="24"/>
          <w:rtl/>
        </w:rPr>
        <w:t xml:space="preserve">לאחר שבחנתי את הבקשה אל מול ההוראות שבתקנה  95 לתקנות סדר הדין האזרחי התשע"ט 2018, הגעתי למסקנות הבאות:  </w:t>
      </w:r>
    </w:p>
    <w:p w:rsidR="00D903E2" w:rsidRPr="00D903E2" w:rsidRDefault="00D903E2" w:rsidP="00D903E2">
      <w:pPr>
        <w:jc w:val="both"/>
        <w:rPr>
          <w:rFonts w:ascii="David" w:hAnsi="David"/>
          <w:rtl/>
        </w:rPr>
      </w:pPr>
      <w:r w:rsidRPr="00D903E2">
        <w:rPr>
          <w:rFonts w:ascii="David" w:hAnsi="David"/>
          <w:rtl/>
        </w:rPr>
        <w:t xml:space="preserve"> </w:t>
      </w:r>
    </w:p>
    <w:p w:rsidR="00D903E2" w:rsidRPr="00D903E2" w:rsidRDefault="00D903E2" w:rsidP="00D903E2">
      <w:pPr>
        <w:ind w:left="1440" w:hanging="720"/>
        <w:jc w:val="both"/>
        <w:rPr>
          <w:rFonts w:ascii="David" w:hAnsi="David"/>
        </w:rPr>
      </w:pPr>
      <w:r w:rsidRPr="00D903E2">
        <w:rPr>
          <w:rFonts w:ascii="David" w:hAnsi="David"/>
          <w:rtl/>
        </w:rPr>
        <w:t>א.</w:t>
      </w:r>
      <w:r w:rsidRPr="00D903E2">
        <w:rPr>
          <w:rFonts w:ascii="David" w:hAnsi="David"/>
          <w:rtl/>
        </w:rPr>
        <w:tab/>
        <w:t xml:space="preserve">קיימות ראיות מספקות לכאורה בקיומה של עילת התובענה, על פי תקנה  95 </w:t>
      </w:r>
      <w:r w:rsidR="00237282">
        <w:rPr>
          <w:rFonts w:ascii="David" w:hAnsi="David"/>
          <w:rtl/>
        </w:rPr>
        <w:t>(ב), המשיבים עצמם מבהירים כי המ</w:t>
      </w:r>
      <w:r w:rsidR="00237282">
        <w:rPr>
          <w:rFonts w:ascii="David" w:hAnsi="David" w:hint="cs"/>
          <w:rtl/>
        </w:rPr>
        <w:t>ב</w:t>
      </w:r>
      <w:r w:rsidRPr="00D903E2">
        <w:rPr>
          <w:rFonts w:ascii="David" w:hAnsi="David"/>
          <w:rtl/>
        </w:rPr>
        <w:t>קשות ידעו בכלליות אודות היקף נכסי אביהן אולם לא ידעו באופן מפורט וממילא הדבר אינו משנה לאורו של דין תורה. בבוא העת יהא על ביהמ"ש להכריע בשאלה האם להיעדר היד</w:t>
      </w:r>
      <w:r w:rsidR="00237282">
        <w:rPr>
          <w:rFonts w:ascii="David" w:hAnsi="David" w:hint="cs"/>
          <w:rtl/>
        </w:rPr>
        <w:t>י</w:t>
      </w:r>
      <w:r w:rsidRPr="00D903E2">
        <w:rPr>
          <w:rFonts w:ascii="David" w:hAnsi="David"/>
          <w:rtl/>
        </w:rPr>
        <w:t xml:space="preserve">עה בדבר היקף העיזבון </w:t>
      </w:r>
      <w:r w:rsidRPr="00D903E2">
        <w:rPr>
          <w:rFonts w:ascii="David" w:hAnsi="David"/>
          <w:rtl/>
        </w:rPr>
        <w:lastRenderedPageBreak/>
        <w:t xml:space="preserve">ישנה משמעות באשר לוויתור מצידן של המבקשות, אולם דומני כי בשלב זה, די באי הידיעה בעניין כי להקים ראיות לכאורה לטובתן של המבקשות.  </w:t>
      </w:r>
    </w:p>
    <w:p w:rsidR="00D903E2" w:rsidRPr="00D903E2" w:rsidRDefault="00D903E2" w:rsidP="00D903E2">
      <w:pPr>
        <w:jc w:val="both"/>
        <w:rPr>
          <w:rFonts w:ascii="David" w:hAnsi="David"/>
          <w:rtl/>
        </w:rPr>
      </w:pPr>
      <w:r w:rsidRPr="00D903E2">
        <w:rPr>
          <w:rFonts w:ascii="David" w:hAnsi="David"/>
          <w:rtl/>
        </w:rPr>
        <w:t xml:space="preserve"> </w:t>
      </w:r>
    </w:p>
    <w:p w:rsidR="00D903E2" w:rsidRPr="00D903E2" w:rsidRDefault="00D903E2" w:rsidP="00D903E2">
      <w:pPr>
        <w:ind w:left="1440" w:hanging="720"/>
        <w:jc w:val="both"/>
        <w:rPr>
          <w:rFonts w:ascii="David" w:hAnsi="David"/>
          <w:rtl/>
        </w:rPr>
      </w:pPr>
      <w:r w:rsidRPr="00D903E2">
        <w:rPr>
          <w:rFonts w:ascii="David" w:hAnsi="David"/>
          <w:rtl/>
        </w:rPr>
        <w:t>ב.</w:t>
      </w:r>
      <w:r w:rsidRPr="00D903E2">
        <w:rPr>
          <w:rFonts w:ascii="David" w:hAnsi="David"/>
          <w:rtl/>
        </w:rPr>
        <w:tab/>
        <w:t xml:space="preserve">יתר המסקנות בעניין הצו הזמני בהליך הקשור ביחס להוראות התקנות, יפות גם לעניין זה. </w:t>
      </w:r>
    </w:p>
    <w:p w:rsidR="00D903E2" w:rsidRPr="00D903E2" w:rsidRDefault="00D903E2" w:rsidP="00D903E2">
      <w:pPr>
        <w:jc w:val="both"/>
        <w:rPr>
          <w:rFonts w:ascii="David" w:hAnsi="David"/>
          <w:rtl/>
        </w:rPr>
      </w:pPr>
      <w:r w:rsidRPr="00D903E2">
        <w:rPr>
          <w:rFonts w:ascii="David" w:hAnsi="David"/>
          <w:rtl/>
        </w:rPr>
        <w:t xml:space="preserve"> </w:t>
      </w:r>
    </w:p>
    <w:p w:rsidR="00D903E2" w:rsidRPr="00D903E2" w:rsidRDefault="00D903E2" w:rsidP="00D903E2">
      <w:pPr>
        <w:pStyle w:val="ae"/>
        <w:numPr>
          <w:ilvl w:val="0"/>
          <w:numId w:val="1"/>
        </w:numPr>
        <w:spacing w:after="0" w:line="240" w:lineRule="auto"/>
        <w:ind w:left="509" w:hanging="567"/>
        <w:jc w:val="both"/>
        <w:rPr>
          <w:rFonts w:ascii="David" w:eastAsia="Times New Roman" w:hAnsi="David" w:cs="David"/>
          <w:noProof/>
          <w:sz w:val="24"/>
          <w:szCs w:val="24"/>
          <w:rtl/>
        </w:rPr>
      </w:pPr>
      <w:r w:rsidRPr="00D903E2">
        <w:rPr>
          <w:rFonts w:ascii="David" w:eastAsia="Times New Roman" w:hAnsi="David" w:cs="David"/>
          <w:noProof/>
          <w:sz w:val="24"/>
          <w:szCs w:val="24"/>
          <w:rtl/>
        </w:rPr>
        <w:t xml:space="preserve">מכל הנימוקים הללו, הנני מורה כדלקמן: </w:t>
      </w:r>
    </w:p>
    <w:p w:rsidR="00D903E2" w:rsidRPr="00D903E2" w:rsidRDefault="00D903E2" w:rsidP="00D903E2">
      <w:pPr>
        <w:ind w:left="360"/>
        <w:jc w:val="both"/>
        <w:rPr>
          <w:rFonts w:ascii="David" w:hAnsi="David"/>
        </w:rPr>
      </w:pPr>
    </w:p>
    <w:p w:rsidR="00D903E2" w:rsidRPr="00D903E2" w:rsidRDefault="00D903E2" w:rsidP="00D903E2">
      <w:pPr>
        <w:ind w:left="360"/>
        <w:jc w:val="both"/>
        <w:rPr>
          <w:rFonts w:ascii="David" w:hAnsi="David"/>
          <w:rtl/>
        </w:rPr>
      </w:pPr>
      <w:r w:rsidRPr="00D903E2">
        <w:rPr>
          <w:rFonts w:ascii="David" w:hAnsi="David"/>
          <w:rtl/>
        </w:rPr>
        <w:t>יוטל צו איסור ד</w:t>
      </w:r>
      <w:r w:rsidR="00237282">
        <w:rPr>
          <w:rFonts w:ascii="David" w:hAnsi="David"/>
          <w:rtl/>
        </w:rPr>
        <w:t>יספוזיציה בנכסי המקרקעין או הכס</w:t>
      </w:r>
      <w:r w:rsidR="00237282">
        <w:rPr>
          <w:rFonts w:ascii="David" w:hAnsi="David" w:hint="cs"/>
          <w:rtl/>
        </w:rPr>
        <w:t>פ</w:t>
      </w:r>
      <w:r w:rsidR="00237282">
        <w:rPr>
          <w:rFonts w:ascii="David" w:hAnsi="David"/>
          <w:rtl/>
        </w:rPr>
        <w:t>ים הנוס</w:t>
      </w:r>
      <w:r w:rsidR="00237282">
        <w:rPr>
          <w:rFonts w:ascii="David" w:hAnsi="David" w:hint="cs"/>
          <w:rtl/>
        </w:rPr>
        <w:t>פ</w:t>
      </w:r>
      <w:r w:rsidR="00237282">
        <w:rPr>
          <w:rFonts w:ascii="David" w:hAnsi="David"/>
          <w:rtl/>
        </w:rPr>
        <w:t>ים מהם</w:t>
      </w:r>
      <w:r w:rsidRPr="00D903E2">
        <w:rPr>
          <w:rFonts w:ascii="David" w:hAnsi="David"/>
          <w:rtl/>
        </w:rPr>
        <w:t xml:space="preserve"> נשוא הבקשה ובמידת הצורך יוגשו פסיקתאות לחתימה.  </w:t>
      </w:r>
    </w:p>
    <w:p w:rsidR="00D903E2" w:rsidRPr="00D903E2" w:rsidRDefault="00D903E2" w:rsidP="00D903E2">
      <w:pPr>
        <w:pStyle w:val="ae"/>
        <w:spacing w:after="0" w:line="240" w:lineRule="auto"/>
        <w:jc w:val="both"/>
        <w:rPr>
          <w:rFonts w:ascii="David" w:eastAsia="Times New Roman" w:hAnsi="David" w:cs="David"/>
          <w:noProof/>
          <w:sz w:val="24"/>
          <w:szCs w:val="24"/>
        </w:rPr>
      </w:pPr>
    </w:p>
    <w:p w:rsidR="00D903E2" w:rsidRPr="00D903E2" w:rsidRDefault="00D903E2" w:rsidP="00D903E2">
      <w:pPr>
        <w:pStyle w:val="ae"/>
        <w:numPr>
          <w:ilvl w:val="0"/>
          <w:numId w:val="1"/>
        </w:numPr>
        <w:spacing w:after="0" w:line="240" w:lineRule="auto"/>
        <w:ind w:left="368" w:hanging="426"/>
        <w:jc w:val="both"/>
        <w:rPr>
          <w:rFonts w:ascii="David" w:eastAsia="Times New Roman" w:hAnsi="David" w:cs="David"/>
          <w:b/>
          <w:bCs/>
          <w:noProof/>
          <w:sz w:val="24"/>
          <w:szCs w:val="24"/>
          <w:rtl/>
        </w:rPr>
      </w:pPr>
      <w:r w:rsidRPr="00D903E2">
        <w:rPr>
          <w:rFonts w:ascii="David" w:eastAsia="Times New Roman" w:hAnsi="David" w:cs="David"/>
          <w:b/>
          <w:bCs/>
          <w:noProof/>
          <w:sz w:val="24"/>
          <w:szCs w:val="24"/>
          <w:rtl/>
        </w:rPr>
        <w:t xml:space="preserve">תנאי לתחולתו של צו זה הינו בהפקדת ערובה </w:t>
      </w:r>
      <w:r w:rsidRPr="00D903E2">
        <w:rPr>
          <w:rFonts w:ascii="David" w:eastAsia="Times New Roman" w:hAnsi="David" w:cs="David"/>
          <w:b/>
          <w:bCs/>
          <w:noProof/>
          <w:sz w:val="24"/>
          <w:szCs w:val="24"/>
          <w:u w:val="single"/>
          <w:rtl/>
        </w:rPr>
        <w:t>מטעם כל אחת מהמבקשות ע"ס 10,000 ₪</w:t>
      </w:r>
      <w:r w:rsidRPr="00D903E2">
        <w:rPr>
          <w:rFonts w:ascii="David" w:eastAsia="Times New Roman" w:hAnsi="David" w:cs="David"/>
          <w:b/>
          <w:bCs/>
          <w:noProof/>
          <w:sz w:val="24"/>
          <w:szCs w:val="24"/>
          <w:rtl/>
        </w:rPr>
        <w:t xml:space="preserve"> בתוך 7 ימים, לטובת המשיבים בגין פיצויים העשויים להיגרם להם כתוצאה מהטלת הצו. ככל שלא תופקד הערובה בזמן הנקוב יבוטל הצו. </w:t>
      </w:r>
    </w:p>
    <w:p w:rsidR="00D903E2" w:rsidRPr="00D903E2" w:rsidRDefault="00D903E2" w:rsidP="00D903E2">
      <w:pPr>
        <w:pStyle w:val="ae"/>
        <w:spacing w:after="0" w:line="240" w:lineRule="auto"/>
        <w:ind w:left="368" w:hanging="426"/>
        <w:jc w:val="both"/>
        <w:rPr>
          <w:rFonts w:ascii="David" w:eastAsia="Times New Roman" w:hAnsi="David" w:cs="David"/>
          <w:b/>
          <w:bCs/>
          <w:noProof/>
          <w:sz w:val="24"/>
          <w:szCs w:val="24"/>
        </w:rPr>
      </w:pPr>
      <w:r w:rsidRPr="00D903E2">
        <w:rPr>
          <w:rFonts w:ascii="David" w:eastAsia="Times New Roman" w:hAnsi="David" w:cs="David"/>
          <w:b/>
          <w:bCs/>
          <w:noProof/>
          <w:sz w:val="24"/>
          <w:szCs w:val="24"/>
          <w:rtl/>
        </w:rPr>
        <w:t xml:space="preserve"> </w:t>
      </w:r>
    </w:p>
    <w:p w:rsidR="00D903E2" w:rsidRPr="00D903E2" w:rsidRDefault="00D903E2" w:rsidP="00D903E2">
      <w:pPr>
        <w:pStyle w:val="ae"/>
        <w:numPr>
          <w:ilvl w:val="0"/>
          <w:numId w:val="1"/>
        </w:numPr>
        <w:spacing w:after="0" w:line="240" w:lineRule="auto"/>
        <w:ind w:left="368" w:hanging="426"/>
        <w:jc w:val="both"/>
        <w:rPr>
          <w:rFonts w:ascii="David" w:eastAsia="Times New Roman" w:hAnsi="David" w:cs="David"/>
          <w:noProof/>
          <w:sz w:val="24"/>
          <w:szCs w:val="24"/>
        </w:rPr>
      </w:pPr>
      <w:r w:rsidRPr="00D903E2">
        <w:rPr>
          <w:rFonts w:ascii="David" w:eastAsia="Times New Roman" w:hAnsi="David" w:cs="David"/>
          <w:noProof/>
          <w:sz w:val="24"/>
          <w:szCs w:val="24"/>
          <w:rtl/>
        </w:rPr>
        <w:t xml:space="preserve">יובא לעיוני בעוד 8 ימים (אלא אם תופקד הערובה קודם לכן). </w:t>
      </w:r>
    </w:p>
    <w:p w:rsidR="00D903E2" w:rsidRPr="00D903E2" w:rsidRDefault="00D903E2" w:rsidP="00D903E2">
      <w:pPr>
        <w:pStyle w:val="ae"/>
        <w:spacing w:line="240" w:lineRule="auto"/>
        <w:ind w:left="368" w:hanging="426"/>
        <w:rPr>
          <w:rFonts w:ascii="David" w:eastAsia="Times New Roman" w:hAnsi="David" w:cs="David"/>
          <w:noProof/>
          <w:sz w:val="24"/>
          <w:szCs w:val="24"/>
        </w:rPr>
      </w:pPr>
    </w:p>
    <w:p w:rsidR="00D903E2" w:rsidRPr="00D903E2" w:rsidRDefault="00D903E2" w:rsidP="00D903E2">
      <w:pPr>
        <w:pStyle w:val="ae"/>
        <w:numPr>
          <w:ilvl w:val="0"/>
          <w:numId w:val="1"/>
        </w:numPr>
        <w:spacing w:after="0" w:line="240" w:lineRule="auto"/>
        <w:ind w:left="368" w:hanging="426"/>
        <w:jc w:val="both"/>
        <w:rPr>
          <w:rFonts w:ascii="David" w:eastAsia="Times New Roman" w:hAnsi="David" w:cs="David"/>
          <w:noProof/>
          <w:sz w:val="24"/>
          <w:szCs w:val="24"/>
          <w:rtl/>
        </w:rPr>
      </w:pPr>
      <w:r w:rsidRPr="00D903E2">
        <w:rPr>
          <w:rFonts w:ascii="David" w:eastAsia="Times New Roman" w:hAnsi="David" w:cs="David"/>
          <w:noProof/>
          <w:sz w:val="24"/>
          <w:szCs w:val="24"/>
          <w:rtl/>
        </w:rPr>
        <w:t xml:space="preserve">על אף המסקנה אליה </w:t>
      </w:r>
      <w:r w:rsidR="00237282">
        <w:rPr>
          <w:rFonts w:ascii="David" w:eastAsia="Times New Roman" w:hAnsi="David" w:cs="David"/>
          <w:noProof/>
          <w:sz w:val="24"/>
          <w:szCs w:val="24"/>
          <w:rtl/>
        </w:rPr>
        <w:t>הגעתי, לא מצאתי לחייב את המשיבי</w:t>
      </w:r>
      <w:r w:rsidR="00237282">
        <w:rPr>
          <w:rFonts w:ascii="David" w:eastAsia="Times New Roman" w:hAnsi="David" w:cs="David" w:hint="cs"/>
          <w:noProof/>
          <w:sz w:val="24"/>
          <w:szCs w:val="24"/>
          <w:rtl/>
        </w:rPr>
        <w:t>ם</w:t>
      </w:r>
      <w:r w:rsidRPr="00D903E2">
        <w:rPr>
          <w:rFonts w:ascii="David" w:eastAsia="Times New Roman" w:hAnsi="David" w:cs="David"/>
          <w:noProof/>
          <w:sz w:val="24"/>
          <w:szCs w:val="24"/>
          <w:rtl/>
        </w:rPr>
        <w:t xml:space="preserve"> בהוצאות לטובת המבקשות. </w:t>
      </w:r>
    </w:p>
    <w:p w:rsidR="00D903E2" w:rsidRDefault="00D903E2" w:rsidP="00D903E2">
      <w:pPr>
        <w:ind w:left="720"/>
        <w:jc w:val="both"/>
        <w:rPr>
          <w:rFonts w:ascii="David" w:hAnsi="David"/>
          <w:rtl/>
        </w:rPr>
      </w:pPr>
    </w:p>
    <w:p w:rsidR="002914D6" w:rsidRDefault="002914D6" w:rsidP="00D903E2">
      <w:pPr>
        <w:jc w:val="both"/>
        <w:rPr>
          <w:rFonts w:ascii="Arial" w:hAnsi="Arial"/>
          <w:noProof w:val="0"/>
          <w:rtl/>
        </w:rPr>
      </w:pPr>
    </w:p>
    <w:p w:rsidR="002914D6" w:rsidRDefault="002914D6" w:rsidP="00D903E2">
      <w:pPr>
        <w:jc w:val="both"/>
        <w:rPr>
          <w:rFonts w:ascii="Arial" w:hAnsi="Arial"/>
          <w:noProof w:val="0"/>
          <w:rtl/>
        </w:rPr>
      </w:pPr>
    </w:p>
    <w:p w:rsidR="002914D6" w:rsidRDefault="002914D6" w:rsidP="00D903E2">
      <w:pPr>
        <w:jc w:val="both"/>
        <w:rPr>
          <w:rFonts w:ascii="Arial" w:hAnsi="Arial"/>
          <w:noProof w:val="0"/>
          <w:rtl/>
        </w:rPr>
      </w:pPr>
    </w:p>
    <w:p w:rsidR="002914D6" w:rsidRDefault="002914D6" w:rsidP="00D903E2">
      <w:pPr>
        <w:jc w:val="both"/>
        <w:rPr>
          <w:rFonts w:ascii="Arial" w:hAnsi="Arial"/>
          <w:noProof w:val="0"/>
          <w:rtl/>
        </w:rPr>
      </w:pPr>
    </w:p>
    <w:p w:rsidR="002914D6" w:rsidRDefault="00904FA7" w:rsidP="00D903E2">
      <w:pPr>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י"ב חשוון תשפ"ג</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06 נובמבר 2022</w:t>
          </w:r>
        </w:sdtContent>
      </w:sdt>
      <w:r w:rsidR="00011212">
        <w:rPr>
          <w:rFonts w:ascii="Arial" w:hAnsi="Arial"/>
          <w:noProof w:val="0"/>
          <w:rtl/>
        </w:rPr>
        <w:t>, בהעדר הצדדים.</w:t>
      </w:r>
    </w:p>
    <w:p w:rsidR="00CC29C2" w:rsidRDefault="00CC29C2" w:rsidP="00D903E2">
      <w:pPr>
        <w:jc w:val="center"/>
        <w:rPr>
          <w:rFonts w:ascii="Arial" w:hAnsi="Arial"/>
          <w:noProof w:val="0"/>
          <w:rtl/>
        </w:rPr>
      </w:pPr>
    </w:p>
    <w:p w:rsidR="002914D6" w:rsidRDefault="00CC29C2" w:rsidP="00D903E2">
      <w:pPr>
        <w:jc w:val="center"/>
      </w:pPr>
      <w:r>
        <w:rPr>
          <w:rFonts w:ascii="Arial" w:hAnsi="Arial"/>
          <w:noProof w:val="0"/>
          <w:rtl/>
        </w:rPr>
        <w:tab/>
      </w:r>
      <w:r>
        <w:rPr>
          <w:rFonts w:ascii="Arial" w:hAnsi="Arial"/>
          <w:noProof w:val="0"/>
          <w:rtl/>
        </w:rPr>
        <w:tab/>
      </w:r>
      <w:sdt>
        <w:sdtPr>
          <w:rPr>
            <w:rtl/>
          </w:rPr>
          <w:alias w:val="MergeField"/>
          <w:tag w:val="1237"/>
          <w:id w:val="-520857893"/>
        </w:sdtPr>
        <w:sdtEndPr/>
        <w:sdtContent>
          <w:r w:rsidR="00B37A88">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2305050" cy="914400"/>
                        </a:xfrm>
                        <a:prstGeom prst="rect">
                          <a:avLst/>
                        </a:prstGeom>
                      </pic:spPr>
                    </pic:pic>
                  </a:graphicData>
                </a:graphic>
              </wp:inline>
            </w:drawing>
          </w:r>
        </w:sdtContent>
      </w:sdt>
    </w:p>
    <w:p w:rsidR="002914D6" w:rsidRDefault="002914D6" w:rsidP="00D903E2">
      <w:pPr>
        <w:jc w:val="center"/>
        <w:rPr>
          <w:rFonts w:ascii="Arial" w:hAnsi="Arial"/>
          <w:noProof w:val="0"/>
          <w:rtl/>
        </w:rPr>
      </w:pPr>
    </w:p>
    <w:p w:rsidR="002914D6" w:rsidRDefault="002914D6" w:rsidP="00D903E2">
      <w:pPr>
        <w:jc w:val="both"/>
        <w:rPr>
          <w:rFonts w:ascii="Arial" w:hAnsi="Arial"/>
          <w:noProof w:val="0"/>
          <w:rtl/>
        </w:rPr>
      </w:pPr>
    </w:p>
    <w:p w:rsidR="002914D6" w:rsidRDefault="002914D6" w:rsidP="00D903E2">
      <w:pPr>
        <w:jc w:val="both"/>
        <w:rPr>
          <w:rFonts w:ascii="Arial" w:hAnsi="Arial"/>
          <w:noProof w:val="0"/>
          <w:rtl/>
        </w:rPr>
      </w:pPr>
    </w:p>
    <w:p w:rsidR="002914D6" w:rsidRDefault="002914D6" w:rsidP="00D903E2">
      <w:pPr>
        <w:jc w:val="both"/>
        <w:rPr>
          <w:rFonts w:ascii="Arial" w:hAnsi="Arial"/>
          <w:noProof w:val="0"/>
          <w:rtl/>
        </w:rPr>
      </w:pPr>
    </w:p>
    <w:p w:rsidR="002914D6" w:rsidRDefault="002914D6" w:rsidP="00D903E2">
      <w:pPr>
        <w:jc w:val="both"/>
        <w:rPr>
          <w:rFonts w:ascii="Arial" w:hAnsi="Arial"/>
          <w:noProof w:val="0"/>
          <w:rtl/>
        </w:rPr>
      </w:pPr>
    </w:p>
    <w:p w:rsidR="002914D6" w:rsidRDefault="002914D6" w:rsidP="00D903E2">
      <w:pPr>
        <w:jc w:val="both"/>
        <w:rPr>
          <w:rFonts w:ascii="Arial" w:hAnsi="Arial"/>
          <w:noProof w:val="0"/>
          <w:rtl/>
        </w:rPr>
      </w:pPr>
    </w:p>
    <w:sectPr w:rsidR="002914D6" w:rsidSect="002914D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0C4" w:rsidRDefault="005A10C4">
      <w:r>
        <w:separator/>
      </w:r>
    </w:p>
  </w:endnote>
  <w:endnote w:type="continuationSeparator" w:id="0">
    <w:p w:rsidR="005A10C4" w:rsidRDefault="005A1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B72" w:rsidRDefault="00195B7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4A367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4A367B">
      <w:rPr>
        <w:rStyle w:val="ab"/>
        <w:rtl/>
      </w:rPr>
      <w:t>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B72" w:rsidRDefault="00195B7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0C4" w:rsidRDefault="005A10C4">
      <w:r>
        <w:separator/>
      </w:r>
    </w:p>
  </w:footnote>
  <w:footnote w:type="continuationSeparator" w:id="0">
    <w:p w:rsidR="005A10C4" w:rsidRDefault="005A1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B72" w:rsidRDefault="00195B7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06 נובמבר 2022</w:t>
              </w:r>
            </w:p>
          </w:tc>
        </w:sdtContent>
      </w:sdt>
    </w:tr>
    <w:tr w:rsidR="002914D6">
      <w:trPr>
        <w:trHeight w:val="337"/>
        <w:jc w:val="center"/>
      </w:trPr>
      <w:tc>
        <w:tcPr>
          <w:tcW w:w="8721" w:type="dxa"/>
          <w:gridSpan w:val="2"/>
        </w:tcPr>
        <w:p w:rsidR="002914D6" w:rsidRDefault="005A10C4" w:rsidP="00237282">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56707-11-21</w:t>
              </w:r>
            </w:sdtContent>
          </w:sdt>
          <w:r w:rsidR="00011212">
            <w:rPr>
              <w:b/>
              <w:bCs/>
              <w:noProof w:val="0"/>
              <w:sz w:val="26"/>
              <w:szCs w:val="26"/>
              <w:rtl/>
            </w:rPr>
            <w:t xml:space="preserve"> </w:t>
          </w:r>
          <w:sdt>
            <w:sdtPr>
              <w:rPr>
                <w:rtl/>
              </w:rPr>
              <w:alias w:val="1172"/>
              <w:tag w:val="1172"/>
              <w:id w:val="1484202908"/>
              <w:text w:multiLine="1"/>
            </w:sdtPr>
            <w:sdtEndPr/>
            <w:sdtContent>
              <w:r w:rsidR="00237282">
                <w:rPr>
                  <w:rFonts w:hint="cs"/>
                  <w:b/>
                  <w:bCs/>
                  <w:noProof w:val="0"/>
                  <w:sz w:val="26"/>
                  <w:szCs w:val="26"/>
                  <w:rtl/>
                </w:rPr>
                <w:t>פלונית</w:t>
              </w:r>
              <w:r w:rsidR="00CC29C2">
                <w:rPr>
                  <w:b/>
                  <w:bCs/>
                  <w:noProof w:val="0"/>
                  <w:sz w:val="26"/>
                  <w:szCs w:val="26"/>
                  <w:rtl/>
                </w:rPr>
                <w:t xml:space="preserve"> נ' </w:t>
              </w:r>
              <w:r w:rsidR="00237282">
                <w:rPr>
                  <w:rFonts w:hint="cs"/>
                  <w:b/>
                  <w:bCs/>
                  <w:noProof w:val="0"/>
                  <w:sz w:val="26"/>
                  <w:szCs w:val="26"/>
                  <w:rtl/>
                </w:rPr>
                <w:t xml:space="preserve">פלוני </w:t>
              </w:r>
              <w:r w:rsidR="00CC29C2">
                <w:rPr>
                  <w:b/>
                  <w:bCs/>
                  <w:noProof w:val="0"/>
                  <w:sz w:val="26"/>
                  <w:szCs w:val="26"/>
                  <w:rtl/>
                </w:rPr>
                <w:t>(המנוח) ואח'</w:t>
              </w:r>
            </w:sdtContent>
          </w:sdt>
        </w:p>
        <w:p w:rsidR="002914D6" w:rsidRDefault="002914D6">
          <w:pPr>
            <w:rPr>
              <w:rtl/>
            </w:rPr>
          </w:pPr>
        </w:p>
        <w:p w:rsidR="008D2646" w:rsidRDefault="008D264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B72" w:rsidRDefault="00195B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968EB"/>
    <w:multiLevelType w:val="hybridMultilevel"/>
    <w:tmpl w:val="9A808FEE"/>
    <w:lvl w:ilvl="0" w:tplc="3E9096E8">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6B04212"/>
    <w:multiLevelType w:val="hybridMultilevel"/>
    <w:tmpl w:val="D7E27F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4058F"/>
    <w:rsid w:val="0019474B"/>
    <w:rsid w:val="00195B72"/>
    <w:rsid w:val="001B43CC"/>
    <w:rsid w:val="00237282"/>
    <w:rsid w:val="00273D47"/>
    <w:rsid w:val="002856D3"/>
    <w:rsid w:val="002914D6"/>
    <w:rsid w:val="002F5307"/>
    <w:rsid w:val="003A0652"/>
    <w:rsid w:val="003D7744"/>
    <w:rsid w:val="004A367B"/>
    <w:rsid w:val="004F4787"/>
    <w:rsid w:val="00530E94"/>
    <w:rsid w:val="005A10C4"/>
    <w:rsid w:val="005E66BB"/>
    <w:rsid w:val="00693A07"/>
    <w:rsid w:val="00822AA5"/>
    <w:rsid w:val="008B0B7F"/>
    <w:rsid w:val="008D2646"/>
    <w:rsid w:val="00904FA7"/>
    <w:rsid w:val="00921E03"/>
    <w:rsid w:val="009A04C9"/>
    <w:rsid w:val="009D1711"/>
    <w:rsid w:val="00A7661B"/>
    <w:rsid w:val="00B234CE"/>
    <w:rsid w:val="00B31305"/>
    <w:rsid w:val="00B37A88"/>
    <w:rsid w:val="00CC29C2"/>
    <w:rsid w:val="00CE7F78"/>
    <w:rsid w:val="00D903E2"/>
    <w:rsid w:val="00DA714E"/>
    <w:rsid w:val="00E72C9F"/>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D903E2"/>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D90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525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2138" TargetMode="Externa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evo.co.il/case/1793191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613786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evo.co.il/case/17913814"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evo.co.il/case/5819068"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3180</Words>
  <Characters>15905</Characters>
  <Application>Microsoft Office Word</Application>
  <DocSecurity>0</DocSecurity>
  <Lines>132</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2023-06-29T10:47:00Z</dcterms:created>
  <dcterms:modified xsi:type="dcterms:W3CDTF">2023-06-29T10:47:00Z</dcterms:modified>
</cp:coreProperties>
</file>